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DBD" w:rsidRPr="00762FA0" w:rsidRDefault="005A4FE3" w:rsidP="005A4FE3">
      <w:pPr>
        <w:spacing w:line="360" w:lineRule="auto"/>
        <w:jc w:val="both"/>
        <w:rPr>
          <w:rFonts w:ascii="Palatino Linotype" w:hAnsi="Palatino Linotype"/>
          <w:b/>
          <w:sz w:val="24"/>
          <w:szCs w:val="24"/>
        </w:rPr>
      </w:pPr>
      <w:r w:rsidRPr="00762FA0">
        <w:rPr>
          <w:rFonts w:ascii="Palatino Linotype" w:hAnsi="Palatino Linotype"/>
          <w:b/>
          <w:sz w:val="24"/>
          <w:szCs w:val="24"/>
        </w:rPr>
        <w:t>OPINIÓN PARTICULAR DEL COMISIONADO JOSÉ GUADALUPE LUNA HERNÁND</w:t>
      </w:r>
      <w:r w:rsidR="00F53C9F" w:rsidRPr="00762FA0">
        <w:rPr>
          <w:rFonts w:ascii="Palatino Linotype" w:hAnsi="Palatino Linotype"/>
          <w:b/>
          <w:sz w:val="24"/>
          <w:szCs w:val="24"/>
        </w:rPr>
        <w:t xml:space="preserve">EZ </w:t>
      </w:r>
      <w:r w:rsidR="00AA6E56" w:rsidRPr="00762FA0">
        <w:rPr>
          <w:rFonts w:ascii="Palatino Linotype" w:hAnsi="Palatino Linotype"/>
          <w:b/>
          <w:sz w:val="24"/>
          <w:szCs w:val="24"/>
        </w:rPr>
        <w:t>EN EL RECURSO DE REVISIÓN  0</w:t>
      </w:r>
      <w:r w:rsidR="00E07921">
        <w:rPr>
          <w:rFonts w:ascii="Palatino Linotype" w:hAnsi="Palatino Linotype"/>
          <w:b/>
          <w:sz w:val="24"/>
          <w:szCs w:val="24"/>
        </w:rPr>
        <w:t>2393</w:t>
      </w:r>
      <w:r w:rsidR="00051DBD" w:rsidRPr="00762FA0">
        <w:rPr>
          <w:rFonts w:ascii="Palatino Linotype" w:hAnsi="Palatino Linotype"/>
          <w:b/>
          <w:sz w:val="24"/>
          <w:szCs w:val="24"/>
        </w:rPr>
        <w:t>/INFOEM/IP/RR/2018.</w:t>
      </w:r>
    </w:p>
    <w:p w:rsidR="005279CD" w:rsidRDefault="005279CD" w:rsidP="005279CD">
      <w:pPr>
        <w:spacing w:before="240" w:after="240" w:line="360" w:lineRule="auto"/>
        <w:jc w:val="center"/>
        <w:rPr>
          <w:rFonts w:ascii="Palatino Linotype" w:hAnsi="Palatino Linotype"/>
          <w:b/>
        </w:rPr>
      </w:pPr>
      <w:r>
        <w:rPr>
          <w:rFonts w:ascii="Palatino Linotype" w:hAnsi="Palatino Linotype"/>
          <w:b/>
          <w:sz w:val="24"/>
          <w:szCs w:val="24"/>
        </w:rPr>
        <w:tab/>
      </w:r>
      <w:r w:rsidRPr="00323478">
        <w:rPr>
          <w:rFonts w:ascii="Palatino Linotype" w:hAnsi="Palatino Linotype"/>
          <w:b/>
        </w:rPr>
        <w:t>LÍNEAS ARGUMENTATIVAS.</w:t>
      </w:r>
    </w:p>
    <w:p w:rsidR="005279CD" w:rsidRPr="004B787A" w:rsidRDefault="005279CD" w:rsidP="005279CD">
      <w:pPr>
        <w:spacing w:line="360" w:lineRule="auto"/>
        <w:jc w:val="both"/>
        <w:rPr>
          <w:rFonts w:ascii="Palatino Linotype" w:eastAsia="MS Mincho" w:hAnsi="Palatino Linotype" w:cs="Arial"/>
          <w:sz w:val="24"/>
        </w:rPr>
      </w:pPr>
      <w:r w:rsidRPr="004B787A">
        <w:rPr>
          <w:rFonts w:ascii="Palatino Linotype" w:eastAsia="MS Mincho" w:hAnsi="Palatino Linotype" w:cs="Arial"/>
          <w:b/>
          <w:sz w:val="24"/>
        </w:rPr>
        <w:t>NO ES UNA INVESTIGACIÓN, LA BUSQUEDA QUE PERMITA LOCALIZAR LOS DOCUMENTOS PARA ATENDER UNA SOLICITUD DE ACCESO A LA INFORMACIÓN.</w:t>
      </w:r>
      <w:r w:rsidRPr="004B787A">
        <w:rPr>
          <w:rFonts w:ascii="Palatino Linotype" w:eastAsia="MS Mincho" w:hAnsi="Palatino Linotype" w:cs="Arial"/>
          <w:sz w:val="24"/>
        </w:rPr>
        <w:t xml:space="preserve"> El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 </w:t>
      </w:r>
    </w:p>
    <w:p w:rsidR="007C7C8A" w:rsidRDefault="001305C0" w:rsidP="001305C0">
      <w:pPr>
        <w:pStyle w:val="TtulodeTDC"/>
        <w:spacing w:line="360" w:lineRule="auto"/>
        <w:rPr>
          <w:rFonts w:ascii="Palatino Linotype" w:hAnsi="Palatino Linotype" w:cs="Arial"/>
          <w:b/>
          <w:color w:val="auto"/>
          <w:sz w:val="24"/>
          <w:szCs w:val="24"/>
        </w:rPr>
      </w:pPr>
      <w:r w:rsidRPr="00762FA0">
        <w:rPr>
          <w:rFonts w:ascii="Palatino Linotype" w:hAnsi="Palatino Linotype" w:cs="Arial"/>
          <w:b/>
          <w:color w:val="auto"/>
          <w:sz w:val="24"/>
          <w:szCs w:val="24"/>
        </w:rPr>
        <w:lastRenderedPageBreak/>
        <w:t>Índice</w:t>
      </w:r>
    </w:p>
    <w:p w:rsidR="00762FA0" w:rsidRPr="00762FA0" w:rsidRDefault="00762FA0" w:rsidP="00762FA0">
      <w:pPr>
        <w:rPr>
          <w:lang w:eastAsia="es-MX"/>
        </w:rPr>
      </w:pP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4B787A" w:rsidRDefault="001305C0">
          <w:pPr>
            <w:pStyle w:val="TDC1"/>
            <w:rPr>
              <w:rFonts w:eastAsiaTheme="minorEastAsia"/>
              <w:noProof/>
              <w:lang w:eastAsia="es-MX"/>
            </w:rPr>
          </w:pPr>
          <w:r w:rsidRPr="00762FA0">
            <w:rPr>
              <w:rFonts w:ascii="Palatino Linotype" w:hAnsi="Palatino Linotype"/>
              <w:sz w:val="24"/>
              <w:szCs w:val="24"/>
            </w:rPr>
            <w:fldChar w:fldCharType="begin"/>
          </w:r>
          <w:r w:rsidRPr="00762FA0">
            <w:rPr>
              <w:rFonts w:ascii="Palatino Linotype" w:hAnsi="Palatino Linotype"/>
              <w:sz w:val="24"/>
              <w:szCs w:val="24"/>
            </w:rPr>
            <w:instrText xml:space="preserve"> TOC \o "1-3" \h \z \u </w:instrText>
          </w:r>
          <w:r w:rsidRPr="00762FA0">
            <w:rPr>
              <w:rFonts w:ascii="Palatino Linotype" w:hAnsi="Palatino Linotype"/>
              <w:sz w:val="24"/>
              <w:szCs w:val="24"/>
            </w:rPr>
            <w:fldChar w:fldCharType="separate"/>
          </w:r>
          <w:hyperlink w:anchor="_Toc527135318" w:history="1">
            <w:r w:rsidR="004B787A" w:rsidRPr="00692D41">
              <w:rPr>
                <w:rStyle w:val="Hipervnculo"/>
                <w:rFonts w:ascii="Palatino Linotype" w:hAnsi="Palatino Linotype"/>
                <w:b/>
                <w:noProof/>
              </w:rPr>
              <w:t>I.</w:t>
            </w:r>
            <w:r w:rsidR="004B787A">
              <w:rPr>
                <w:rFonts w:eastAsiaTheme="minorEastAsia"/>
                <w:noProof/>
                <w:lang w:eastAsia="es-MX"/>
              </w:rPr>
              <w:tab/>
            </w:r>
            <w:r w:rsidR="004B787A" w:rsidRPr="00692D41">
              <w:rPr>
                <w:rStyle w:val="Hipervnculo"/>
                <w:rFonts w:ascii="Palatino Linotype" w:hAnsi="Palatino Linotype"/>
                <w:b/>
                <w:noProof/>
              </w:rPr>
              <w:t>Consideraciones Generales</w:t>
            </w:r>
            <w:r w:rsidR="004B787A">
              <w:rPr>
                <w:noProof/>
                <w:webHidden/>
              </w:rPr>
              <w:tab/>
            </w:r>
            <w:r w:rsidR="004B787A">
              <w:rPr>
                <w:noProof/>
                <w:webHidden/>
              </w:rPr>
              <w:fldChar w:fldCharType="begin"/>
            </w:r>
            <w:r w:rsidR="004B787A">
              <w:rPr>
                <w:noProof/>
                <w:webHidden/>
              </w:rPr>
              <w:instrText xml:space="preserve"> PAGEREF _Toc527135318 \h </w:instrText>
            </w:r>
            <w:r w:rsidR="004B787A">
              <w:rPr>
                <w:noProof/>
                <w:webHidden/>
              </w:rPr>
            </w:r>
            <w:r w:rsidR="004B787A">
              <w:rPr>
                <w:noProof/>
                <w:webHidden/>
              </w:rPr>
              <w:fldChar w:fldCharType="separate"/>
            </w:r>
            <w:r w:rsidR="004B787A">
              <w:rPr>
                <w:noProof/>
                <w:webHidden/>
              </w:rPr>
              <w:t>3</w:t>
            </w:r>
            <w:r w:rsidR="004B787A">
              <w:rPr>
                <w:noProof/>
                <w:webHidden/>
              </w:rPr>
              <w:fldChar w:fldCharType="end"/>
            </w:r>
          </w:hyperlink>
        </w:p>
        <w:p w:rsidR="004B787A" w:rsidRDefault="006655FD">
          <w:pPr>
            <w:pStyle w:val="TDC1"/>
            <w:rPr>
              <w:rFonts w:eastAsiaTheme="minorEastAsia"/>
              <w:noProof/>
              <w:lang w:eastAsia="es-MX"/>
            </w:rPr>
          </w:pPr>
          <w:hyperlink w:anchor="_Toc527135319" w:history="1">
            <w:r w:rsidR="004B787A" w:rsidRPr="00692D41">
              <w:rPr>
                <w:rStyle w:val="Hipervnculo"/>
                <w:rFonts w:ascii="Palatino Linotype" w:hAnsi="Palatino Linotype"/>
                <w:b/>
                <w:noProof/>
              </w:rPr>
              <w:t>II.</w:t>
            </w:r>
            <w:r w:rsidR="004B787A">
              <w:rPr>
                <w:rFonts w:eastAsiaTheme="minorEastAsia"/>
                <w:noProof/>
                <w:lang w:eastAsia="es-MX"/>
              </w:rPr>
              <w:tab/>
            </w:r>
            <w:r w:rsidR="004B787A" w:rsidRPr="00692D41">
              <w:rPr>
                <w:rStyle w:val="Hipervnculo"/>
                <w:rFonts w:ascii="Palatino Linotype" w:hAnsi="Palatino Linotype"/>
                <w:b/>
                <w:noProof/>
              </w:rPr>
              <w:t>De los requerimientos planteados.</w:t>
            </w:r>
            <w:r w:rsidR="004B787A">
              <w:rPr>
                <w:noProof/>
                <w:webHidden/>
              </w:rPr>
              <w:tab/>
            </w:r>
            <w:r w:rsidR="004B787A">
              <w:rPr>
                <w:noProof/>
                <w:webHidden/>
              </w:rPr>
              <w:fldChar w:fldCharType="begin"/>
            </w:r>
            <w:r w:rsidR="004B787A">
              <w:rPr>
                <w:noProof/>
                <w:webHidden/>
              </w:rPr>
              <w:instrText xml:space="preserve"> PAGEREF _Toc527135319 \h </w:instrText>
            </w:r>
            <w:r w:rsidR="004B787A">
              <w:rPr>
                <w:noProof/>
                <w:webHidden/>
              </w:rPr>
            </w:r>
            <w:r w:rsidR="004B787A">
              <w:rPr>
                <w:noProof/>
                <w:webHidden/>
              </w:rPr>
              <w:fldChar w:fldCharType="separate"/>
            </w:r>
            <w:r w:rsidR="004B787A">
              <w:rPr>
                <w:noProof/>
                <w:webHidden/>
              </w:rPr>
              <w:t>4</w:t>
            </w:r>
            <w:r w:rsidR="004B787A">
              <w:rPr>
                <w:noProof/>
                <w:webHidden/>
              </w:rPr>
              <w:fldChar w:fldCharType="end"/>
            </w:r>
          </w:hyperlink>
        </w:p>
        <w:p w:rsidR="004B787A" w:rsidRDefault="006655FD">
          <w:pPr>
            <w:pStyle w:val="TDC1"/>
            <w:rPr>
              <w:rFonts w:eastAsiaTheme="minorEastAsia"/>
              <w:noProof/>
              <w:lang w:eastAsia="es-MX"/>
            </w:rPr>
          </w:pPr>
          <w:hyperlink w:anchor="_Toc527135320" w:history="1">
            <w:r w:rsidR="004B787A" w:rsidRPr="00692D41">
              <w:rPr>
                <w:rStyle w:val="Hipervnculo"/>
                <w:rFonts w:ascii="Palatino Linotype" w:hAnsi="Palatino Linotype"/>
                <w:b/>
                <w:noProof/>
              </w:rPr>
              <w:t>III.</w:t>
            </w:r>
            <w:r w:rsidR="004B787A">
              <w:rPr>
                <w:rFonts w:eastAsiaTheme="minorEastAsia"/>
                <w:noProof/>
                <w:lang w:eastAsia="es-MX"/>
              </w:rPr>
              <w:tab/>
            </w:r>
            <w:r w:rsidR="004B787A" w:rsidRPr="00692D41">
              <w:rPr>
                <w:rStyle w:val="Hipervnculo"/>
                <w:rFonts w:ascii="Palatino Linotype" w:hAnsi="Palatino Linotype"/>
                <w:b/>
                <w:noProof/>
              </w:rPr>
              <w:t>De la Búsqueda exhaustiva y razonable de la información.</w:t>
            </w:r>
            <w:r w:rsidR="004B787A">
              <w:rPr>
                <w:noProof/>
                <w:webHidden/>
              </w:rPr>
              <w:tab/>
            </w:r>
            <w:r w:rsidR="004B787A">
              <w:rPr>
                <w:noProof/>
                <w:webHidden/>
              </w:rPr>
              <w:fldChar w:fldCharType="begin"/>
            </w:r>
            <w:r w:rsidR="004B787A">
              <w:rPr>
                <w:noProof/>
                <w:webHidden/>
              </w:rPr>
              <w:instrText xml:space="preserve"> PAGEREF _Toc527135320 \h </w:instrText>
            </w:r>
            <w:r w:rsidR="004B787A">
              <w:rPr>
                <w:noProof/>
                <w:webHidden/>
              </w:rPr>
            </w:r>
            <w:r w:rsidR="004B787A">
              <w:rPr>
                <w:noProof/>
                <w:webHidden/>
              </w:rPr>
              <w:fldChar w:fldCharType="separate"/>
            </w:r>
            <w:r w:rsidR="004B787A">
              <w:rPr>
                <w:noProof/>
                <w:webHidden/>
              </w:rPr>
              <w:t>5</w:t>
            </w:r>
            <w:r w:rsidR="004B787A">
              <w:rPr>
                <w:noProof/>
                <w:webHidden/>
              </w:rPr>
              <w:fldChar w:fldCharType="end"/>
            </w:r>
          </w:hyperlink>
        </w:p>
        <w:p w:rsidR="004B787A" w:rsidRDefault="006655FD">
          <w:pPr>
            <w:pStyle w:val="TDC1"/>
            <w:rPr>
              <w:rFonts w:eastAsiaTheme="minorEastAsia"/>
              <w:noProof/>
              <w:lang w:eastAsia="es-MX"/>
            </w:rPr>
          </w:pPr>
          <w:hyperlink w:anchor="_Toc527135321" w:history="1">
            <w:r w:rsidR="004B787A" w:rsidRPr="00692D41">
              <w:rPr>
                <w:rStyle w:val="Hipervnculo"/>
                <w:rFonts w:eastAsia="MS Mincho"/>
                <w:b/>
                <w:noProof/>
              </w:rPr>
              <w:t>IV.</w:t>
            </w:r>
            <w:r w:rsidR="004B787A">
              <w:rPr>
                <w:rFonts w:eastAsiaTheme="minorEastAsia"/>
                <w:noProof/>
                <w:lang w:eastAsia="es-MX"/>
              </w:rPr>
              <w:tab/>
            </w:r>
            <w:r w:rsidR="004B787A" w:rsidRPr="00692D41">
              <w:rPr>
                <w:rStyle w:val="Hipervnculo"/>
                <w:rFonts w:eastAsia="MS Mincho"/>
                <w:b/>
                <w:noProof/>
              </w:rPr>
              <w:t>De las Tecnologías de los Sujetos Obligados.</w:t>
            </w:r>
            <w:r w:rsidR="004B787A">
              <w:rPr>
                <w:noProof/>
                <w:webHidden/>
              </w:rPr>
              <w:tab/>
            </w:r>
            <w:r w:rsidR="004B787A">
              <w:rPr>
                <w:noProof/>
                <w:webHidden/>
              </w:rPr>
              <w:fldChar w:fldCharType="begin"/>
            </w:r>
            <w:r w:rsidR="004B787A">
              <w:rPr>
                <w:noProof/>
                <w:webHidden/>
              </w:rPr>
              <w:instrText xml:space="preserve"> PAGEREF _Toc527135321 \h </w:instrText>
            </w:r>
            <w:r w:rsidR="004B787A">
              <w:rPr>
                <w:noProof/>
                <w:webHidden/>
              </w:rPr>
            </w:r>
            <w:r w:rsidR="004B787A">
              <w:rPr>
                <w:noProof/>
                <w:webHidden/>
              </w:rPr>
              <w:fldChar w:fldCharType="separate"/>
            </w:r>
            <w:r w:rsidR="004B787A">
              <w:rPr>
                <w:noProof/>
                <w:webHidden/>
              </w:rPr>
              <w:t>13</w:t>
            </w:r>
            <w:r w:rsidR="004B787A">
              <w:rPr>
                <w:noProof/>
                <w:webHidden/>
              </w:rPr>
              <w:fldChar w:fldCharType="end"/>
            </w:r>
          </w:hyperlink>
        </w:p>
        <w:p w:rsidR="004B787A" w:rsidRDefault="006655FD">
          <w:pPr>
            <w:pStyle w:val="TDC1"/>
            <w:rPr>
              <w:rFonts w:eastAsiaTheme="minorEastAsia"/>
              <w:noProof/>
              <w:lang w:eastAsia="es-MX"/>
            </w:rPr>
          </w:pPr>
          <w:hyperlink w:anchor="_Toc527135322" w:history="1">
            <w:r w:rsidR="004B787A" w:rsidRPr="00692D41">
              <w:rPr>
                <w:rStyle w:val="Hipervnculo"/>
                <w:rFonts w:ascii="Palatino Linotype" w:hAnsi="Palatino Linotype"/>
                <w:b/>
                <w:noProof/>
              </w:rPr>
              <w:t>V.</w:t>
            </w:r>
            <w:r w:rsidR="004B787A">
              <w:rPr>
                <w:rFonts w:eastAsiaTheme="minorEastAsia"/>
                <w:noProof/>
                <w:lang w:eastAsia="es-MX"/>
              </w:rPr>
              <w:tab/>
            </w:r>
            <w:r w:rsidR="004B787A" w:rsidRPr="00692D41">
              <w:rPr>
                <w:rStyle w:val="Hipervnculo"/>
                <w:rFonts w:ascii="Palatino Linotype" w:hAnsi="Palatino Linotype"/>
                <w:b/>
                <w:noProof/>
              </w:rPr>
              <w:t>Conclusión</w:t>
            </w:r>
            <w:r w:rsidR="004B787A">
              <w:rPr>
                <w:noProof/>
                <w:webHidden/>
              </w:rPr>
              <w:tab/>
            </w:r>
            <w:r w:rsidR="004B787A">
              <w:rPr>
                <w:noProof/>
                <w:webHidden/>
              </w:rPr>
              <w:fldChar w:fldCharType="begin"/>
            </w:r>
            <w:r w:rsidR="004B787A">
              <w:rPr>
                <w:noProof/>
                <w:webHidden/>
              </w:rPr>
              <w:instrText xml:space="preserve"> PAGEREF _Toc527135322 \h </w:instrText>
            </w:r>
            <w:r w:rsidR="004B787A">
              <w:rPr>
                <w:noProof/>
                <w:webHidden/>
              </w:rPr>
            </w:r>
            <w:r w:rsidR="004B787A">
              <w:rPr>
                <w:noProof/>
                <w:webHidden/>
              </w:rPr>
              <w:fldChar w:fldCharType="separate"/>
            </w:r>
            <w:r w:rsidR="004B787A">
              <w:rPr>
                <w:noProof/>
                <w:webHidden/>
              </w:rPr>
              <w:t>16</w:t>
            </w:r>
            <w:r w:rsidR="004B787A">
              <w:rPr>
                <w:noProof/>
                <w:webHidden/>
              </w:rPr>
              <w:fldChar w:fldCharType="end"/>
            </w:r>
          </w:hyperlink>
        </w:p>
        <w:p w:rsidR="001305C0" w:rsidRPr="00762FA0" w:rsidRDefault="001305C0" w:rsidP="001305C0">
          <w:pPr>
            <w:spacing w:line="360" w:lineRule="auto"/>
            <w:rPr>
              <w:rFonts w:ascii="Palatino Linotype" w:hAnsi="Palatino Linotype"/>
              <w:sz w:val="24"/>
              <w:szCs w:val="24"/>
            </w:rPr>
          </w:pPr>
          <w:r w:rsidRPr="00762FA0">
            <w:rPr>
              <w:rFonts w:ascii="Palatino Linotype" w:hAnsi="Palatino Linotype"/>
              <w:b/>
              <w:bCs/>
              <w:sz w:val="24"/>
              <w:szCs w:val="24"/>
              <w:lang w:val="es-ES"/>
            </w:rPr>
            <w:fldChar w:fldCharType="end"/>
          </w:r>
        </w:p>
      </w:sdtContent>
    </w:sdt>
    <w:p w:rsidR="00114ED3" w:rsidRDefault="00114ED3" w:rsidP="00114ED3">
      <w:pPr>
        <w:rPr>
          <w:rFonts w:ascii="Palatino Linotype" w:hAnsi="Palatino Linotype"/>
          <w:sz w:val="24"/>
          <w:szCs w:val="24"/>
        </w:rPr>
      </w:pPr>
    </w:p>
    <w:p w:rsidR="00762FA0" w:rsidRDefault="00762FA0" w:rsidP="00114ED3">
      <w:pPr>
        <w:rPr>
          <w:rFonts w:ascii="Palatino Linotype" w:hAnsi="Palatino Linotype"/>
          <w:sz w:val="24"/>
          <w:szCs w:val="24"/>
        </w:rPr>
      </w:pPr>
    </w:p>
    <w:p w:rsidR="004B787A" w:rsidRPr="00762FA0" w:rsidRDefault="004B787A" w:rsidP="00114ED3">
      <w:pPr>
        <w:rPr>
          <w:rFonts w:ascii="Palatino Linotype" w:hAnsi="Palatino Linotype"/>
          <w:sz w:val="24"/>
          <w:szCs w:val="24"/>
        </w:rPr>
      </w:pPr>
    </w:p>
    <w:p w:rsidR="00B35DFF" w:rsidRPr="00762FA0" w:rsidRDefault="00B35DFF" w:rsidP="00340794">
      <w:pPr>
        <w:pStyle w:val="Ttulo1"/>
        <w:numPr>
          <w:ilvl w:val="0"/>
          <w:numId w:val="18"/>
        </w:numPr>
        <w:rPr>
          <w:rFonts w:ascii="Palatino Linotype" w:hAnsi="Palatino Linotype"/>
          <w:b/>
          <w:color w:val="auto"/>
          <w:sz w:val="24"/>
          <w:szCs w:val="24"/>
        </w:rPr>
      </w:pPr>
      <w:bookmarkStart w:id="0" w:name="_Toc527135318"/>
      <w:r w:rsidRPr="00762FA0">
        <w:rPr>
          <w:rFonts w:ascii="Palatino Linotype" w:hAnsi="Palatino Linotype"/>
          <w:b/>
          <w:color w:val="auto"/>
          <w:sz w:val="24"/>
          <w:szCs w:val="24"/>
        </w:rPr>
        <w:t>Consideraciones Generales</w:t>
      </w:r>
      <w:bookmarkEnd w:id="0"/>
    </w:p>
    <w:p w:rsidR="00B35DFF" w:rsidRPr="00762FA0" w:rsidRDefault="00B35DFF" w:rsidP="00B35DFF">
      <w:pPr>
        <w:pStyle w:val="Prrafodelista"/>
        <w:spacing w:line="360" w:lineRule="auto"/>
        <w:ind w:left="1080"/>
        <w:jc w:val="both"/>
        <w:rPr>
          <w:rFonts w:ascii="Palatino Linotype" w:hAnsi="Palatino Linotype"/>
          <w:sz w:val="24"/>
          <w:szCs w:val="24"/>
        </w:rPr>
      </w:pPr>
    </w:p>
    <w:p w:rsidR="00B35DFF" w:rsidRPr="00762FA0" w:rsidRDefault="00B35DFF" w:rsidP="00B35DFF">
      <w:pPr>
        <w:pStyle w:val="Prrafodelista"/>
        <w:numPr>
          <w:ilvl w:val="0"/>
          <w:numId w:val="8"/>
        </w:numPr>
        <w:spacing w:line="360" w:lineRule="auto"/>
        <w:jc w:val="both"/>
        <w:rPr>
          <w:rFonts w:ascii="Palatino Linotype" w:hAnsi="Palatino Linotype"/>
          <w:sz w:val="24"/>
          <w:szCs w:val="24"/>
        </w:rPr>
      </w:pPr>
      <w:r w:rsidRPr="00762FA0">
        <w:rPr>
          <w:rFonts w:ascii="Palatino Linotype" w:hAnsi="Palatino Linotype"/>
          <w:sz w:val="24"/>
          <w:szCs w:val="24"/>
        </w:rPr>
        <w:t>He concurrido con mi opinión particular de la presente resolución emitida por el Pleno del Instituto de Transparencia, Acceso a la Información Pública y Protección de Datos Personales del Estado</w:t>
      </w:r>
      <w:r w:rsidR="00312935" w:rsidRPr="00762FA0">
        <w:rPr>
          <w:rFonts w:ascii="Palatino Linotype" w:hAnsi="Palatino Linotype"/>
          <w:sz w:val="24"/>
          <w:szCs w:val="24"/>
        </w:rPr>
        <w:t xml:space="preserve"> de México y Municipios, en su </w:t>
      </w:r>
      <w:r w:rsidR="007F10EC" w:rsidRPr="00762FA0">
        <w:rPr>
          <w:rFonts w:ascii="Palatino Linotype" w:hAnsi="Palatino Linotype"/>
          <w:sz w:val="24"/>
          <w:szCs w:val="24"/>
        </w:rPr>
        <w:t xml:space="preserve">Trigésima </w:t>
      </w:r>
      <w:r w:rsidR="00C11315">
        <w:rPr>
          <w:rFonts w:ascii="Palatino Linotype" w:hAnsi="Palatino Linotype"/>
          <w:sz w:val="24"/>
          <w:szCs w:val="24"/>
        </w:rPr>
        <w:t>Séptima</w:t>
      </w:r>
      <w:r w:rsidR="006746E7" w:rsidRPr="00762FA0">
        <w:rPr>
          <w:rFonts w:ascii="Palatino Linotype" w:hAnsi="Palatino Linotype"/>
          <w:sz w:val="24"/>
          <w:szCs w:val="24"/>
        </w:rPr>
        <w:t xml:space="preserve"> S</w:t>
      </w:r>
      <w:r w:rsidRPr="00762FA0">
        <w:rPr>
          <w:rFonts w:ascii="Palatino Linotype" w:hAnsi="Palatino Linotype"/>
          <w:sz w:val="24"/>
          <w:szCs w:val="24"/>
        </w:rPr>
        <w:t xml:space="preserve">esión Ordinaria celebrada en fecha </w:t>
      </w:r>
      <w:r w:rsidR="00C11315">
        <w:rPr>
          <w:rFonts w:ascii="Palatino Linotype" w:hAnsi="Palatino Linotype"/>
          <w:sz w:val="24"/>
          <w:szCs w:val="24"/>
        </w:rPr>
        <w:t>diez</w:t>
      </w:r>
      <w:r w:rsidRPr="00762FA0">
        <w:rPr>
          <w:rFonts w:ascii="Palatino Linotype" w:hAnsi="Palatino Linotype"/>
          <w:sz w:val="24"/>
          <w:szCs w:val="24"/>
        </w:rPr>
        <w:t xml:space="preserve"> (</w:t>
      </w:r>
      <w:r w:rsidR="00C11315">
        <w:rPr>
          <w:rFonts w:ascii="Palatino Linotype" w:hAnsi="Palatino Linotype"/>
          <w:sz w:val="24"/>
          <w:szCs w:val="24"/>
        </w:rPr>
        <w:t>10</w:t>
      </w:r>
      <w:r w:rsidRPr="00762FA0">
        <w:rPr>
          <w:rFonts w:ascii="Palatino Linotype" w:hAnsi="Palatino Linotype"/>
          <w:sz w:val="24"/>
          <w:szCs w:val="24"/>
        </w:rPr>
        <w:t xml:space="preserve">) de </w:t>
      </w:r>
      <w:r w:rsidR="00C11315">
        <w:rPr>
          <w:rFonts w:ascii="Palatino Linotype" w:hAnsi="Palatino Linotype"/>
          <w:sz w:val="24"/>
          <w:szCs w:val="24"/>
        </w:rPr>
        <w:t>octubre</w:t>
      </w:r>
      <w:r w:rsidR="00051DBD" w:rsidRPr="00762FA0">
        <w:rPr>
          <w:rFonts w:ascii="Palatino Linotype" w:hAnsi="Palatino Linotype"/>
          <w:sz w:val="24"/>
          <w:szCs w:val="24"/>
        </w:rPr>
        <w:t xml:space="preserve"> de dos mil dieciocho</w:t>
      </w:r>
      <w:r w:rsidRPr="00762FA0">
        <w:rPr>
          <w:rFonts w:ascii="Palatino Linotype" w:hAnsi="Palatino Linotype"/>
          <w:sz w:val="24"/>
          <w:szCs w:val="24"/>
        </w:rPr>
        <w:t xml:space="preserve"> promovido por </w:t>
      </w:r>
      <w:r w:rsidR="00B148D3" w:rsidRPr="00B148D3">
        <w:rPr>
          <w:rFonts w:ascii="Palatino Linotype" w:hAnsi="Palatino Linotype" w:cs="Arial"/>
          <w:b/>
          <w:sz w:val="24"/>
          <w:szCs w:val="24"/>
          <w:highlight w:val="black"/>
        </w:rPr>
        <w:t>----------------------------</w:t>
      </w:r>
      <w:r w:rsidR="00BD70BE" w:rsidRPr="00762FA0">
        <w:rPr>
          <w:rFonts w:ascii="Palatino Linotype" w:hAnsi="Palatino Linotype"/>
          <w:sz w:val="24"/>
          <w:szCs w:val="24"/>
        </w:rPr>
        <w:t xml:space="preserve"> </w:t>
      </w:r>
      <w:r w:rsidR="007E4DC7" w:rsidRPr="00762FA0">
        <w:rPr>
          <w:rFonts w:ascii="Palatino Linotype" w:hAnsi="Palatino Linotype"/>
          <w:sz w:val="24"/>
          <w:szCs w:val="24"/>
        </w:rPr>
        <w:t>en contra de la respuesta de</w:t>
      </w:r>
      <w:r w:rsidRPr="00762FA0">
        <w:rPr>
          <w:rFonts w:ascii="Palatino Linotype" w:hAnsi="Palatino Linotype"/>
          <w:sz w:val="24"/>
          <w:szCs w:val="24"/>
        </w:rPr>
        <w:t xml:space="preserve">l </w:t>
      </w:r>
      <w:r w:rsidR="00C11315">
        <w:rPr>
          <w:rFonts w:ascii="Palatino Linotype" w:hAnsi="Palatino Linotype" w:cs="Arial"/>
          <w:b/>
          <w:sz w:val="24"/>
          <w:szCs w:val="24"/>
        </w:rPr>
        <w:t>Poder Judicial</w:t>
      </w:r>
      <w:r w:rsidR="007E4DC7" w:rsidRPr="00762FA0">
        <w:rPr>
          <w:rFonts w:ascii="Palatino Linotype" w:hAnsi="Palatino Linotype"/>
          <w:b/>
          <w:sz w:val="24"/>
          <w:szCs w:val="24"/>
        </w:rPr>
        <w:t xml:space="preserve"> </w:t>
      </w:r>
      <w:r w:rsidRPr="00762FA0">
        <w:rPr>
          <w:rFonts w:ascii="Palatino Linotype" w:hAnsi="Palatino Linotype"/>
          <w:sz w:val="24"/>
          <w:szCs w:val="24"/>
        </w:rPr>
        <w:t xml:space="preserve">procedimiento al que se le asignó el número de expediente </w:t>
      </w:r>
      <w:r w:rsidR="00C11315">
        <w:rPr>
          <w:rFonts w:ascii="Palatino Linotype" w:hAnsi="Palatino Linotype"/>
          <w:b/>
          <w:sz w:val="24"/>
          <w:szCs w:val="24"/>
        </w:rPr>
        <w:t>02393</w:t>
      </w:r>
      <w:r w:rsidR="00782770" w:rsidRPr="00762FA0">
        <w:rPr>
          <w:rFonts w:ascii="Palatino Linotype" w:hAnsi="Palatino Linotype"/>
          <w:b/>
          <w:sz w:val="24"/>
          <w:szCs w:val="24"/>
        </w:rPr>
        <w:t>/INFOEM/IP/RR/2018</w:t>
      </w:r>
      <w:r w:rsidR="0022628C" w:rsidRPr="00762FA0">
        <w:rPr>
          <w:rFonts w:ascii="Palatino Linotype" w:hAnsi="Palatino Linotype"/>
          <w:b/>
          <w:sz w:val="24"/>
          <w:szCs w:val="24"/>
        </w:rPr>
        <w:t>.</w:t>
      </w:r>
    </w:p>
    <w:p w:rsidR="00762FA0" w:rsidRPr="00762FA0" w:rsidRDefault="00762FA0" w:rsidP="00762FA0">
      <w:pPr>
        <w:pStyle w:val="Prrafodelista"/>
        <w:spacing w:line="360" w:lineRule="auto"/>
        <w:ind w:left="360"/>
        <w:jc w:val="both"/>
        <w:rPr>
          <w:rFonts w:ascii="Palatino Linotype" w:hAnsi="Palatino Linotype"/>
          <w:sz w:val="24"/>
          <w:szCs w:val="24"/>
        </w:rPr>
      </w:pPr>
    </w:p>
    <w:p w:rsidR="00E00B8E" w:rsidRPr="00762FA0" w:rsidRDefault="00B35DFF" w:rsidP="00E00B8E">
      <w:pPr>
        <w:pStyle w:val="Prrafodelista"/>
        <w:numPr>
          <w:ilvl w:val="0"/>
          <w:numId w:val="8"/>
        </w:numPr>
        <w:spacing w:line="360" w:lineRule="auto"/>
        <w:jc w:val="both"/>
        <w:rPr>
          <w:rFonts w:ascii="Palatino Linotype" w:hAnsi="Palatino Linotype" w:cs="Arial"/>
          <w:i/>
          <w:sz w:val="24"/>
          <w:szCs w:val="24"/>
        </w:rPr>
      </w:pPr>
      <w:r w:rsidRPr="00762FA0">
        <w:rPr>
          <w:rFonts w:ascii="Palatino Linotype" w:hAnsi="Palatino Linotype"/>
          <w:sz w:val="24"/>
          <w:szCs w:val="24"/>
        </w:rPr>
        <w:lastRenderedPageBreak/>
        <w:t>La re</w:t>
      </w:r>
      <w:r w:rsidR="00782770" w:rsidRPr="00762FA0">
        <w:rPr>
          <w:rFonts w:ascii="Palatino Linotype" w:hAnsi="Palatino Linotype"/>
          <w:sz w:val="24"/>
          <w:szCs w:val="24"/>
        </w:rPr>
        <w:t xml:space="preserve">solución puntualmente determina </w:t>
      </w:r>
      <w:r w:rsidR="00BD70BE" w:rsidRPr="00762FA0">
        <w:rPr>
          <w:rFonts w:ascii="Palatino Linotype" w:hAnsi="Palatino Linotype"/>
          <w:b/>
          <w:sz w:val="24"/>
          <w:szCs w:val="24"/>
        </w:rPr>
        <w:t>MODIFICAR</w:t>
      </w:r>
      <w:r w:rsidR="00835513" w:rsidRPr="00762FA0">
        <w:rPr>
          <w:rFonts w:ascii="Palatino Linotype" w:hAnsi="Palatino Linotype"/>
          <w:b/>
          <w:sz w:val="24"/>
          <w:szCs w:val="24"/>
        </w:rPr>
        <w:t xml:space="preserve"> </w:t>
      </w:r>
      <w:r w:rsidR="00E00B8E" w:rsidRPr="00762FA0">
        <w:rPr>
          <w:rFonts w:ascii="Palatino Linotype" w:hAnsi="Palatino Linotype"/>
          <w:sz w:val="24"/>
          <w:szCs w:val="24"/>
        </w:rPr>
        <w:t xml:space="preserve">la respuesta del </w:t>
      </w:r>
      <w:r w:rsidR="00E00B8E" w:rsidRPr="00762FA0">
        <w:rPr>
          <w:rFonts w:ascii="Palatino Linotype" w:hAnsi="Palatino Linotype"/>
          <w:b/>
          <w:sz w:val="24"/>
          <w:szCs w:val="24"/>
        </w:rPr>
        <w:t xml:space="preserve">Sujeto Obligado </w:t>
      </w:r>
      <w:r w:rsidR="00E00B8E" w:rsidRPr="00762FA0">
        <w:rPr>
          <w:rFonts w:ascii="Palatino Linotype" w:hAnsi="Palatino Linotype"/>
          <w:sz w:val="24"/>
          <w:szCs w:val="24"/>
        </w:rPr>
        <w:t>y</w:t>
      </w:r>
      <w:r w:rsidR="00E00B8E" w:rsidRPr="00762FA0">
        <w:rPr>
          <w:rFonts w:ascii="Palatino Linotype" w:hAnsi="Palatino Linotype"/>
          <w:b/>
          <w:sz w:val="24"/>
          <w:szCs w:val="24"/>
        </w:rPr>
        <w:t xml:space="preserve"> ORDENA </w:t>
      </w:r>
      <w:r w:rsidR="00BD70BE" w:rsidRPr="00762FA0">
        <w:rPr>
          <w:rFonts w:ascii="Palatino Linotype" w:hAnsi="Palatino Linotype"/>
          <w:sz w:val="24"/>
          <w:szCs w:val="24"/>
        </w:rPr>
        <w:t xml:space="preserve">entregar </w:t>
      </w:r>
      <w:r w:rsidR="00E00B8E" w:rsidRPr="00762FA0">
        <w:rPr>
          <w:rFonts w:ascii="Palatino Linotype" w:hAnsi="Palatino Linotype"/>
          <w:sz w:val="24"/>
          <w:szCs w:val="24"/>
        </w:rPr>
        <w:t>lo siguiente:</w:t>
      </w:r>
    </w:p>
    <w:p w:rsidR="00762FA0" w:rsidRPr="00762FA0" w:rsidRDefault="00762FA0" w:rsidP="00762FA0">
      <w:pPr>
        <w:pStyle w:val="Prrafodelista"/>
        <w:rPr>
          <w:rFonts w:ascii="Palatino Linotype" w:hAnsi="Palatino Linotype" w:cs="Arial"/>
          <w:i/>
          <w:sz w:val="24"/>
          <w:szCs w:val="24"/>
        </w:rPr>
      </w:pPr>
    </w:p>
    <w:p w:rsidR="00E07921" w:rsidRPr="00E07921" w:rsidRDefault="00E07921" w:rsidP="00E07921">
      <w:pPr>
        <w:pStyle w:val="Prrafodelista"/>
        <w:autoSpaceDE w:val="0"/>
        <w:autoSpaceDN w:val="0"/>
        <w:adjustRightInd w:val="0"/>
        <w:spacing w:after="0" w:line="360" w:lineRule="auto"/>
        <w:ind w:right="49"/>
        <w:contextualSpacing w:val="0"/>
        <w:jc w:val="both"/>
        <w:rPr>
          <w:rFonts w:ascii="Palatino Linotype" w:hAnsi="Palatino Linotype" w:cs="Arial"/>
          <w:b/>
        </w:rPr>
      </w:pPr>
      <w:r>
        <w:rPr>
          <w:rFonts w:ascii="Palatino Linotype" w:eastAsia="Calibri" w:hAnsi="Palatino Linotype" w:cs="Arial"/>
          <w:b/>
        </w:rPr>
        <w:t>“</w:t>
      </w:r>
      <w:r w:rsidRPr="00E07921">
        <w:rPr>
          <w:rFonts w:ascii="Palatino Linotype" w:eastAsia="Calibri" w:hAnsi="Palatino Linotype" w:cs="Arial"/>
          <w:b/>
        </w:rPr>
        <w:t>El procedimiento en que se establezca: el nombre del o los servidores públicos que lo atenderán, el o los domicilios de los Juzgados, días y horarios en que puede acudir a hacer consulta de los libros índice.</w:t>
      </w:r>
      <w:r>
        <w:rPr>
          <w:rFonts w:ascii="Palatino Linotype" w:eastAsia="Calibri" w:hAnsi="Palatino Linotype" w:cs="Arial"/>
          <w:b/>
        </w:rPr>
        <w:t>”</w:t>
      </w:r>
    </w:p>
    <w:p w:rsidR="00397F3B" w:rsidRPr="00762FA0" w:rsidRDefault="00397F3B" w:rsidP="00E00B8E">
      <w:pPr>
        <w:pStyle w:val="Prrafodelista"/>
        <w:spacing w:line="360" w:lineRule="auto"/>
        <w:ind w:left="360"/>
        <w:jc w:val="both"/>
        <w:rPr>
          <w:rFonts w:ascii="Palatino Linotype" w:hAnsi="Palatino Linotype" w:cs="Arial"/>
          <w:i/>
          <w:sz w:val="24"/>
          <w:szCs w:val="24"/>
        </w:rPr>
      </w:pPr>
    </w:p>
    <w:p w:rsidR="00B35DFF" w:rsidRPr="00762FA0" w:rsidRDefault="00B35DFF" w:rsidP="00B35DFF">
      <w:pPr>
        <w:pStyle w:val="Prrafodelista"/>
        <w:numPr>
          <w:ilvl w:val="0"/>
          <w:numId w:val="8"/>
        </w:numPr>
        <w:spacing w:line="360" w:lineRule="auto"/>
        <w:jc w:val="both"/>
        <w:rPr>
          <w:rFonts w:ascii="Palatino Linotype" w:hAnsi="Palatino Linotype"/>
          <w:sz w:val="24"/>
          <w:szCs w:val="24"/>
        </w:rPr>
      </w:pPr>
      <w:r w:rsidRPr="00762FA0">
        <w:rPr>
          <w:rFonts w:ascii="Palatino Linotype" w:hAnsi="Palatino Linotype"/>
          <w:sz w:val="24"/>
          <w:szCs w:val="24"/>
        </w:rPr>
        <w:t>Por tal motivo y en términos de lo señalado por el artículo 14 fracción XI del Reglamento Interior del Instituto de Transparencia y Acceso a la Información Pública del Estado de México y Municipios formulo la presente opinión particular.</w:t>
      </w:r>
    </w:p>
    <w:p w:rsidR="00B35DFF" w:rsidRPr="00762FA0" w:rsidRDefault="00B35DFF" w:rsidP="00B35DFF">
      <w:pPr>
        <w:pStyle w:val="Prrafodelista"/>
        <w:rPr>
          <w:rFonts w:ascii="Palatino Linotype" w:hAnsi="Palatino Linotype"/>
          <w:sz w:val="24"/>
          <w:szCs w:val="24"/>
        </w:rPr>
      </w:pPr>
    </w:p>
    <w:p w:rsidR="00397F3B" w:rsidRPr="00762FA0" w:rsidRDefault="00397F3B" w:rsidP="00340794">
      <w:pPr>
        <w:pStyle w:val="Ttulo1"/>
        <w:numPr>
          <w:ilvl w:val="0"/>
          <w:numId w:val="18"/>
        </w:numPr>
        <w:rPr>
          <w:rFonts w:ascii="Palatino Linotype" w:hAnsi="Palatino Linotype"/>
          <w:b/>
          <w:color w:val="auto"/>
          <w:sz w:val="24"/>
          <w:szCs w:val="24"/>
        </w:rPr>
      </w:pPr>
      <w:bookmarkStart w:id="1" w:name="_Toc527135319"/>
      <w:r w:rsidRPr="00762FA0">
        <w:rPr>
          <w:rFonts w:ascii="Palatino Linotype" w:hAnsi="Palatino Linotype"/>
          <w:b/>
          <w:color w:val="auto"/>
          <w:sz w:val="24"/>
          <w:szCs w:val="24"/>
        </w:rPr>
        <w:t>De los requerimientos planteados.</w:t>
      </w:r>
      <w:bookmarkEnd w:id="1"/>
    </w:p>
    <w:p w:rsidR="00397F3B" w:rsidRPr="00762FA0" w:rsidRDefault="00397F3B" w:rsidP="00397F3B">
      <w:pPr>
        <w:rPr>
          <w:rFonts w:ascii="Palatino Linotype" w:hAnsi="Palatino Linotype"/>
          <w:sz w:val="24"/>
          <w:szCs w:val="24"/>
        </w:rPr>
      </w:pPr>
    </w:p>
    <w:p w:rsidR="00C11315" w:rsidRPr="00C11315" w:rsidRDefault="00397F3B" w:rsidP="00C11315">
      <w:pPr>
        <w:pStyle w:val="Prrafodelista"/>
        <w:numPr>
          <w:ilvl w:val="0"/>
          <w:numId w:val="8"/>
        </w:numPr>
        <w:spacing w:line="360" w:lineRule="auto"/>
        <w:ind w:left="426" w:right="49" w:hanging="426"/>
        <w:jc w:val="both"/>
        <w:rPr>
          <w:rFonts w:ascii="Palatino Linotype" w:hAnsi="Palatino Linotype"/>
          <w:sz w:val="24"/>
          <w:szCs w:val="24"/>
        </w:rPr>
      </w:pPr>
      <w:r w:rsidRPr="00762FA0">
        <w:rPr>
          <w:rFonts w:ascii="Palatino Linotype" w:hAnsi="Palatino Linotype"/>
          <w:sz w:val="24"/>
          <w:szCs w:val="24"/>
        </w:rPr>
        <w:t xml:space="preserve">Se solicitó al Sujeto Obligado </w:t>
      </w:r>
      <w:r w:rsidR="00C11315">
        <w:rPr>
          <w:rFonts w:ascii="Palatino Linotype" w:hAnsi="Palatino Linotype"/>
          <w:sz w:val="24"/>
          <w:szCs w:val="24"/>
        </w:rPr>
        <w:t xml:space="preserve">la </w:t>
      </w:r>
      <w:r w:rsidR="0086384D">
        <w:rPr>
          <w:rFonts w:ascii="Palatino Linotype" w:hAnsi="Palatino Linotype" w:cs="Arial"/>
          <w:sz w:val="24"/>
          <w:szCs w:val="24"/>
        </w:rPr>
        <w:t>c</w:t>
      </w:r>
      <w:r w:rsidR="00C11315" w:rsidRPr="00C11315">
        <w:rPr>
          <w:rFonts w:ascii="Palatino Linotype" w:hAnsi="Palatino Linotype" w:cs="Arial"/>
          <w:sz w:val="24"/>
          <w:szCs w:val="24"/>
        </w:rPr>
        <w:t xml:space="preserve">antidad de demandas interpuestas por el </w:t>
      </w:r>
      <w:r w:rsidR="00C11315" w:rsidRPr="00C11315">
        <w:rPr>
          <w:rFonts w:ascii="Palatino Linotype" w:hAnsi="Palatino Linotype" w:cs="Arial"/>
          <w:b/>
          <w:sz w:val="24"/>
          <w:szCs w:val="24"/>
        </w:rPr>
        <w:t xml:space="preserve">Sr. </w:t>
      </w:r>
      <w:r w:rsidR="00B148D3">
        <w:rPr>
          <w:rFonts w:ascii="Palatino Linotype" w:hAnsi="Palatino Linotype" w:cs="Arial"/>
          <w:b/>
          <w:sz w:val="24"/>
          <w:szCs w:val="24"/>
        </w:rPr>
        <w:t>-</w:t>
      </w:r>
      <w:r w:rsidR="00B148D3" w:rsidRPr="00B148D3">
        <w:rPr>
          <w:rFonts w:ascii="Palatino Linotype" w:hAnsi="Palatino Linotype" w:cs="Arial"/>
          <w:b/>
          <w:sz w:val="24"/>
          <w:szCs w:val="24"/>
          <w:highlight w:val="black"/>
        </w:rPr>
        <w:t>------------------------------</w:t>
      </w:r>
      <w:r w:rsidR="00C11315" w:rsidRPr="00C11315">
        <w:rPr>
          <w:rFonts w:ascii="Palatino Linotype" w:hAnsi="Palatino Linotype" w:cs="Arial"/>
          <w:sz w:val="24"/>
          <w:szCs w:val="24"/>
        </w:rPr>
        <w:t>, en los juzgados civiles de cuantía menor de los municipios de la Paz y Nezahualcóyotl</w:t>
      </w:r>
      <w:r w:rsidR="0086384D">
        <w:rPr>
          <w:rFonts w:ascii="Palatino Linotype" w:hAnsi="Palatino Linotype" w:cs="Arial"/>
          <w:sz w:val="24"/>
          <w:szCs w:val="24"/>
        </w:rPr>
        <w:t>.</w:t>
      </w:r>
    </w:p>
    <w:p w:rsidR="00C11315" w:rsidRDefault="00C11315" w:rsidP="00C11315">
      <w:pPr>
        <w:pStyle w:val="Prrafodelista"/>
        <w:spacing w:line="360" w:lineRule="auto"/>
        <w:ind w:left="426" w:right="49"/>
        <w:jc w:val="both"/>
        <w:rPr>
          <w:rFonts w:ascii="Palatino Linotype" w:hAnsi="Palatino Linotype"/>
          <w:sz w:val="24"/>
          <w:szCs w:val="24"/>
        </w:rPr>
      </w:pPr>
    </w:p>
    <w:p w:rsidR="00C11315" w:rsidRPr="00C11315" w:rsidRDefault="00397F3B" w:rsidP="00473A35">
      <w:pPr>
        <w:pStyle w:val="Prrafodelista"/>
        <w:numPr>
          <w:ilvl w:val="0"/>
          <w:numId w:val="8"/>
        </w:numPr>
        <w:spacing w:line="360" w:lineRule="auto"/>
        <w:ind w:left="426" w:right="49" w:hanging="426"/>
        <w:jc w:val="both"/>
        <w:rPr>
          <w:rFonts w:ascii="Palatino Linotype" w:hAnsi="Palatino Linotype"/>
          <w:sz w:val="24"/>
          <w:szCs w:val="24"/>
        </w:rPr>
      </w:pPr>
      <w:r w:rsidRPr="00762FA0">
        <w:rPr>
          <w:rFonts w:ascii="Palatino Linotype" w:hAnsi="Palatino Linotype" w:cs="Arial"/>
          <w:sz w:val="24"/>
          <w:szCs w:val="24"/>
        </w:rPr>
        <w:t xml:space="preserve">El Sujeto Obligado mediante la respuesta </w:t>
      </w:r>
      <w:r w:rsidR="008615EE" w:rsidRPr="00762FA0">
        <w:rPr>
          <w:rFonts w:ascii="Palatino Linotype" w:hAnsi="Palatino Linotype" w:cs="Arial"/>
          <w:sz w:val="24"/>
          <w:szCs w:val="24"/>
        </w:rPr>
        <w:t xml:space="preserve">refiere </w:t>
      </w:r>
      <w:r w:rsidR="00C11315">
        <w:rPr>
          <w:rFonts w:ascii="Palatino Linotype" w:hAnsi="Palatino Linotype" w:cs="Arial"/>
          <w:sz w:val="24"/>
          <w:szCs w:val="24"/>
        </w:rPr>
        <w:t>medularmente lo siguiente:</w:t>
      </w:r>
    </w:p>
    <w:p w:rsidR="00C11315" w:rsidRPr="00C11315" w:rsidRDefault="00C11315" w:rsidP="00C11315">
      <w:pPr>
        <w:tabs>
          <w:tab w:val="left" w:pos="709"/>
        </w:tabs>
        <w:spacing w:after="0" w:line="360" w:lineRule="auto"/>
        <w:ind w:left="567" w:right="567"/>
        <w:jc w:val="both"/>
        <w:rPr>
          <w:rFonts w:ascii="Palatino Linotype" w:hAnsi="Palatino Linotype" w:cs="Arial"/>
        </w:rPr>
      </w:pPr>
      <w:r w:rsidRPr="00C11315">
        <w:rPr>
          <w:rFonts w:ascii="Palatino Linotype" w:hAnsi="Palatino Linotype" w:cs="Arial"/>
          <w:i/>
        </w:rPr>
        <w:t xml:space="preserve">“…hago de su conocimiento que para arribar a la información solicitada, sería necesaria la PRÁCTICA DE UNA INVESTIGACIÓN EXHAUSTIVA, dentro de los libros de gobierno, así como los expedientes que obran dentro de los Juzgados, con la finalidad de verificar si existe la información que requiere el solicitante, es decir, en el caso concreto, </w:t>
      </w:r>
      <w:r w:rsidRPr="00C11315">
        <w:rPr>
          <w:rFonts w:ascii="Palatino Linotype" w:hAnsi="Palatino Linotype" w:cs="Arial"/>
          <w:i/>
          <w:u w:val="single"/>
        </w:rPr>
        <w:lastRenderedPageBreak/>
        <w:t>para atender la solicitud planteada sería necesario procesar los datos con los que institucionalmente se cuenta y construir un documento ad hoc para dar atención al requerimiento</w:t>
      </w:r>
      <w:r w:rsidRPr="00C11315">
        <w:rPr>
          <w:rFonts w:ascii="Palatino Linotype" w:hAnsi="Palatino Linotype" w:cs="Arial"/>
          <w:i/>
        </w:rPr>
        <w:t xml:space="preserve"> de la parte solicitante lo cual no es un deber de las instituciones, tal como se establece en el artículo 12 de la Ley de Transparencia y Acceso a la Información Pública del Estado de México y Municipios…”</w:t>
      </w:r>
    </w:p>
    <w:p w:rsidR="00C11315" w:rsidRPr="00D16F81" w:rsidRDefault="00C11315" w:rsidP="00C11315">
      <w:pPr>
        <w:pStyle w:val="Prrafodelista"/>
        <w:tabs>
          <w:tab w:val="left" w:pos="709"/>
        </w:tabs>
        <w:spacing w:line="360" w:lineRule="auto"/>
        <w:ind w:left="567" w:right="567"/>
        <w:jc w:val="right"/>
        <w:rPr>
          <w:rFonts w:ascii="Palatino Linotype" w:hAnsi="Palatino Linotype" w:cs="Arial"/>
        </w:rPr>
      </w:pPr>
      <w:r>
        <w:rPr>
          <w:rFonts w:ascii="Palatino Linotype" w:hAnsi="Palatino Linotype" w:cs="Arial"/>
        </w:rPr>
        <w:t>(Énfasis añadido)</w:t>
      </w:r>
    </w:p>
    <w:p w:rsidR="00C11315" w:rsidRPr="001D4834" w:rsidRDefault="00C11315" w:rsidP="00C11315">
      <w:pPr>
        <w:pStyle w:val="Prrafodelista"/>
        <w:tabs>
          <w:tab w:val="left" w:pos="709"/>
        </w:tabs>
        <w:spacing w:line="360" w:lineRule="auto"/>
        <w:ind w:left="567" w:right="567"/>
        <w:jc w:val="both"/>
        <w:rPr>
          <w:rFonts w:ascii="Palatino Linotype" w:hAnsi="Palatino Linotype" w:cs="Arial"/>
        </w:rPr>
      </w:pPr>
    </w:p>
    <w:p w:rsidR="00C11315" w:rsidRPr="00C11315" w:rsidRDefault="00C11315" w:rsidP="00C11315">
      <w:pPr>
        <w:tabs>
          <w:tab w:val="left" w:pos="709"/>
        </w:tabs>
        <w:spacing w:after="0" w:line="360" w:lineRule="auto"/>
        <w:ind w:left="567" w:right="567"/>
        <w:jc w:val="both"/>
        <w:rPr>
          <w:rFonts w:ascii="Palatino Linotype" w:hAnsi="Palatino Linotype" w:cs="Arial"/>
        </w:rPr>
      </w:pPr>
      <w:r w:rsidRPr="00C11315">
        <w:rPr>
          <w:rFonts w:ascii="Palatino Linotype" w:hAnsi="Palatino Linotype" w:cs="Arial"/>
          <w:i/>
        </w:rPr>
        <w:t xml:space="preserve">“…En ese sentido, se observa en su solicitud que requiere “Cantidad de demandas interpuestas por el Sr. </w:t>
      </w:r>
      <w:r w:rsidR="00B148D3" w:rsidRPr="00B148D3">
        <w:rPr>
          <w:rFonts w:ascii="Palatino Linotype" w:hAnsi="Palatino Linotype" w:cs="Arial"/>
          <w:i/>
          <w:highlight w:val="black"/>
        </w:rPr>
        <w:t>----------------------------</w:t>
      </w:r>
      <w:r w:rsidRPr="00C11315">
        <w:rPr>
          <w:rFonts w:ascii="Palatino Linotype" w:hAnsi="Palatino Linotype" w:cs="Arial"/>
          <w:i/>
        </w:rPr>
        <w:t xml:space="preserve">, en los juzgados civiles de cuantía menor de los municipios de la Paz y </w:t>
      </w:r>
      <w:proofErr w:type="spellStart"/>
      <w:r w:rsidRPr="00C11315">
        <w:rPr>
          <w:rFonts w:ascii="Palatino Linotype" w:hAnsi="Palatino Linotype" w:cs="Arial"/>
          <w:i/>
        </w:rPr>
        <w:t>Nezahualcoyotl</w:t>
      </w:r>
      <w:proofErr w:type="spellEnd"/>
      <w:r w:rsidRPr="00C11315">
        <w:rPr>
          <w:rFonts w:ascii="Palatino Linotype" w:hAnsi="Palatino Linotype" w:cs="Arial"/>
          <w:i/>
        </w:rPr>
        <w:t xml:space="preserve">…” (Sic); si bien, se advierte que pudiera parecer un cuestionamiento elaborado hacia este Sujeto Obligado, no debe perderse de vista que, la información solicitada versa respecto de personas físicas, y tal como se desprende del ordenamiento legal antes invocado, dicha información es considerada CONFIDENCIAL, por lo que únicamente podrá conocer el trámite respectivo el titular de la información </w:t>
      </w:r>
      <w:proofErr w:type="spellStart"/>
      <w:r w:rsidRPr="00C11315">
        <w:rPr>
          <w:rFonts w:ascii="Palatino Linotype" w:hAnsi="Palatino Linotype" w:cs="Arial"/>
          <w:i/>
        </w:rPr>
        <w:t>requisitada</w:t>
      </w:r>
      <w:proofErr w:type="spellEnd"/>
      <w:r w:rsidRPr="00C11315">
        <w:rPr>
          <w:rFonts w:ascii="Palatino Linotype" w:hAnsi="Palatino Linotype" w:cs="Arial"/>
          <w:i/>
        </w:rPr>
        <w:t xml:space="preserve"> o bien persona autorizada para consultar las constancias que obran dentro del expediente, previa identificación…” (</w:t>
      </w:r>
      <w:proofErr w:type="gramStart"/>
      <w:r w:rsidRPr="00C11315">
        <w:rPr>
          <w:rFonts w:ascii="Palatino Linotype" w:hAnsi="Palatino Linotype" w:cs="Arial"/>
          <w:i/>
        </w:rPr>
        <w:t>sic</w:t>
      </w:r>
      <w:proofErr w:type="gramEnd"/>
      <w:r w:rsidRPr="00C11315">
        <w:rPr>
          <w:rFonts w:ascii="Palatino Linotype" w:hAnsi="Palatino Linotype" w:cs="Arial"/>
          <w:i/>
        </w:rPr>
        <w:t>)</w:t>
      </w:r>
    </w:p>
    <w:p w:rsidR="00C11315" w:rsidRDefault="00C11315" w:rsidP="00C11315">
      <w:pPr>
        <w:pStyle w:val="Prrafodelista"/>
        <w:spacing w:line="360" w:lineRule="auto"/>
        <w:ind w:left="426" w:right="49"/>
        <w:jc w:val="both"/>
        <w:rPr>
          <w:rFonts w:ascii="Palatino Linotype" w:hAnsi="Palatino Linotype" w:cs="Arial"/>
          <w:sz w:val="24"/>
          <w:szCs w:val="24"/>
        </w:rPr>
      </w:pPr>
    </w:p>
    <w:p w:rsidR="00C11315" w:rsidRPr="00C11315" w:rsidRDefault="002723DD" w:rsidP="00C11315">
      <w:pPr>
        <w:pStyle w:val="Prrafodelista"/>
        <w:numPr>
          <w:ilvl w:val="0"/>
          <w:numId w:val="8"/>
        </w:numPr>
        <w:spacing w:line="360" w:lineRule="auto"/>
        <w:ind w:left="426" w:right="49" w:hanging="426"/>
        <w:jc w:val="both"/>
        <w:rPr>
          <w:rFonts w:ascii="Palatino Linotype" w:hAnsi="Palatino Linotype"/>
          <w:sz w:val="24"/>
          <w:szCs w:val="24"/>
        </w:rPr>
      </w:pPr>
      <w:r w:rsidRPr="00762FA0">
        <w:rPr>
          <w:rFonts w:ascii="Palatino Linotype" w:hAnsi="Palatino Linotype" w:cs="Arial"/>
          <w:sz w:val="24"/>
          <w:szCs w:val="24"/>
        </w:rPr>
        <w:t xml:space="preserve">La parte recurrente se inconformó </w:t>
      </w:r>
      <w:r w:rsidR="00C11315">
        <w:rPr>
          <w:rFonts w:ascii="Palatino Linotype" w:hAnsi="Palatino Linotype" w:cs="Arial"/>
          <w:sz w:val="24"/>
          <w:szCs w:val="24"/>
        </w:rPr>
        <w:t>manifestado que la información solicitada no debe ser confidencial, toda vez que es meramente estadística.</w:t>
      </w:r>
    </w:p>
    <w:p w:rsidR="00643F8E" w:rsidRPr="00762FA0" w:rsidRDefault="00C11315" w:rsidP="00C11315">
      <w:pPr>
        <w:pStyle w:val="Prrafodelista"/>
        <w:spacing w:line="360" w:lineRule="auto"/>
        <w:ind w:left="426" w:right="49"/>
        <w:jc w:val="both"/>
        <w:rPr>
          <w:rFonts w:ascii="Palatino Linotype" w:hAnsi="Palatino Linotype"/>
          <w:sz w:val="24"/>
          <w:szCs w:val="24"/>
        </w:rPr>
      </w:pPr>
      <w:r w:rsidRPr="00762FA0">
        <w:rPr>
          <w:rFonts w:ascii="Palatino Linotype" w:hAnsi="Palatino Linotype"/>
          <w:sz w:val="24"/>
          <w:szCs w:val="24"/>
        </w:rPr>
        <w:t xml:space="preserve"> </w:t>
      </w:r>
    </w:p>
    <w:p w:rsidR="00C11315" w:rsidRPr="0086384D" w:rsidRDefault="002723DD" w:rsidP="0086384D">
      <w:pPr>
        <w:pStyle w:val="Prrafodelista"/>
        <w:numPr>
          <w:ilvl w:val="0"/>
          <w:numId w:val="8"/>
        </w:numPr>
        <w:spacing w:line="360" w:lineRule="auto"/>
        <w:jc w:val="both"/>
        <w:rPr>
          <w:rFonts w:ascii="Palatino Linotype" w:hAnsi="Palatino Linotype"/>
          <w:sz w:val="24"/>
          <w:szCs w:val="24"/>
        </w:rPr>
      </w:pPr>
      <w:r w:rsidRPr="00762FA0">
        <w:rPr>
          <w:rFonts w:ascii="Palatino Linotype" w:hAnsi="Palatino Linotype"/>
          <w:sz w:val="24"/>
          <w:szCs w:val="24"/>
        </w:rPr>
        <w:t>El Sujeto Obligado al momento de rendir el corr</w:t>
      </w:r>
      <w:r w:rsidR="0086384D">
        <w:rPr>
          <w:rFonts w:ascii="Palatino Linotype" w:hAnsi="Palatino Linotype"/>
          <w:sz w:val="24"/>
          <w:szCs w:val="24"/>
        </w:rPr>
        <w:t>espondiente informe justificado</w:t>
      </w:r>
      <w:r w:rsidRPr="0086384D">
        <w:rPr>
          <w:rFonts w:ascii="Palatino Linotype" w:hAnsi="Palatino Linotype"/>
          <w:sz w:val="24"/>
          <w:szCs w:val="24"/>
        </w:rPr>
        <w:t xml:space="preserve"> </w:t>
      </w:r>
      <w:r w:rsidR="00C11315" w:rsidRPr="0086384D">
        <w:rPr>
          <w:rFonts w:ascii="Palatino Linotype" w:hAnsi="Palatino Linotype"/>
          <w:sz w:val="24"/>
          <w:szCs w:val="24"/>
        </w:rPr>
        <w:t xml:space="preserve">manifestó que </w:t>
      </w:r>
      <w:r w:rsidR="005279CD" w:rsidRPr="0086384D">
        <w:rPr>
          <w:rFonts w:ascii="Palatino Linotype" w:hAnsi="Palatino Linotype"/>
          <w:sz w:val="24"/>
          <w:szCs w:val="24"/>
        </w:rPr>
        <w:t xml:space="preserve">en los Juzgados Civiles </w:t>
      </w:r>
      <w:r w:rsidR="005279CD" w:rsidRPr="0086384D">
        <w:rPr>
          <w:rFonts w:ascii="Palatino Linotype" w:hAnsi="Palatino Linotype" w:cs="Arial"/>
          <w:sz w:val="24"/>
          <w:szCs w:val="24"/>
        </w:rPr>
        <w:t xml:space="preserve">existen libros de gobierno en los cuales se lleva un registro de los asuntos radicados en los juzgados, denominado </w:t>
      </w:r>
      <w:r w:rsidR="005279CD" w:rsidRPr="0086384D">
        <w:rPr>
          <w:rFonts w:ascii="Palatino Linotype" w:hAnsi="Palatino Linotype" w:cs="Arial"/>
          <w:b/>
          <w:i/>
          <w:sz w:val="24"/>
          <w:szCs w:val="24"/>
        </w:rPr>
        <w:t xml:space="preserve">“libro </w:t>
      </w:r>
      <w:r w:rsidR="005279CD" w:rsidRPr="0086384D">
        <w:rPr>
          <w:rFonts w:ascii="Palatino Linotype" w:hAnsi="Palatino Linotype" w:cs="Arial"/>
          <w:b/>
          <w:i/>
          <w:sz w:val="24"/>
          <w:szCs w:val="24"/>
        </w:rPr>
        <w:lastRenderedPageBreak/>
        <w:t>índice”</w:t>
      </w:r>
      <w:r w:rsidR="005279CD" w:rsidRPr="0086384D">
        <w:rPr>
          <w:rFonts w:ascii="Palatino Linotype" w:hAnsi="Palatino Linotype" w:cs="Arial"/>
          <w:i/>
          <w:sz w:val="24"/>
          <w:szCs w:val="24"/>
        </w:rPr>
        <w:t xml:space="preserve"> </w:t>
      </w:r>
      <w:r w:rsidR="005279CD" w:rsidRPr="0086384D">
        <w:rPr>
          <w:rFonts w:ascii="Palatino Linotype" w:hAnsi="Palatino Linotype" w:cs="Arial"/>
          <w:sz w:val="24"/>
          <w:szCs w:val="24"/>
        </w:rPr>
        <w:t xml:space="preserve">que es de acceso </w:t>
      </w:r>
      <w:r w:rsidR="0086384D">
        <w:rPr>
          <w:rFonts w:ascii="Palatino Linotype" w:hAnsi="Palatino Linotype" w:cs="Arial"/>
          <w:sz w:val="24"/>
          <w:szCs w:val="24"/>
        </w:rPr>
        <w:t xml:space="preserve">público </w:t>
      </w:r>
      <w:r w:rsidR="005279CD" w:rsidRPr="0086384D">
        <w:rPr>
          <w:rFonts w:ascii="Palatino Linotype" w:hAnsi="Palatino Linotype" w:cs="Arial"/>
          <w:sz w:val="24"/>
          <w:szCs w:val="24"/>
        </w:rPr>
        <w:t>a los particulares, en los cuales pudiera constar la información peticionada.</w:t>
      </w:r>
    </w:p>
    <w:p w:rsidR="00C11315" w:rsidRPr="00C11315" w:rsidRDefault="00C11315" w:rsidP="00C11315">
      <w:pPr>
        <w:pStyle w:val="Prrafodelista"/>
        <w:rPr>
          <w:rFonts w:ascii="Palatino Linotype" w:hAnsi="Palatino Linotype"/>
          <w:sz w:val="24"/>
          <w:szCs w:val="24"/>
        </w:rPr>
      </w:pPr>
    </w:p>
    <w:p w:rsidR="00643F8E" w:rsidRPr="00762FA0" w:rsidRDefault="00643F8E" w:rsidP="00643F8E">
      <w:pPr>
        <w:pStyle w:val="Ttulo1"/>
        <w:numPr>
          <w:ilvl w:val="0"/>
          <w:numId w:val="18"/>
        </w:numPr>
        <w:rPr>
          <w:rFonts w:ascii="Palatino Linotype" w:hAnsi="Palatino Linotype"/>
          <w:b/>
          <w:color w:val="auto"/>
          <w:sz w:val="24"/>
          <w:szCs w:val="24"/>
        </w:rPr>
      </w:pPr>
      <w:bookmarkStart w:id="2" w:name="_Toc527135320"/>
      <w:r w:rsidRPr="00762FA0">
        <w:rPr>
          <w:rFonts w:ascii="Palatino Linotype" w:hAnsi="Palatino Linotype"/>
          <w:b/>
          <w:color w:val="auto"/>
          <w:sz w:val="24"/>
          <w:szCs w:val="24"/>
        </w:rPr>
        <w:t xml:space="preserve">De la </w:t>
      </w:r>
      <w:r w:rsidR="005279CD">
        <w:rPr>
          <w:rFonts w:ascii="Palatino Linotype" w:hAnsi="Palatino Linotype"/>
          <w:b/>
          <w:color w:val="auto"/>
          <w:sz w:val="24"/>
          <w:szCs w:val="24"/>
        </w:rPr>
        <w:t>Búsqueda exhaustiva y razonable de la información.</w:t>
      </w:r>
      <w:bookmarkEnd w:id="2"/>
    </w:p>
    <w:p w:rsidR="00643F8E" w:rsidRPr="00762FA0" w:rsidRDefault="00643F8E" w:rsidP="00643F8E">
      <w:pPr>
        <w:spacing w:line="360" w:lineRule="auto"/>
        <w:jc w:val="both"/>
        <w:rPr>
          <w:rFonts w:ascii="Palatino Linotype" w:hAnsi="Palatino Linotype" w:cs="Arial"/>
          <w:b/>
          <w:sz w:val="24"/>
          <w:szCs w:val="24"/>
        </w:rPr>
      </w:pPr>
    </w:p>
    <w:p w:rsidR="005279CD" w:rsidRDefault="0086384D" w:rsidP="002723DD">
      <w:pPr>
        <w:pStyle w:val="Prrafodelista"/>
        <w:numPr>
          <w:ilvl w:val="0"/>
          <w:numId w:val="8"/>
        </w:numPr>
        <w:autoSpaceDE w:val="0"/>
        <w:autoSpaceDN w:val="0"/>
        <w:adjustRightInd w:val="0"/>
        <w:spacing w:after="240" w:line="360" w:lineRule="auto"/>
        <w:jc w:val="both"/>
        <w:rPr>
          <w:rFonts w:ascii="Palatino Linotype" w:hAnsi="Palatino Linotype" w:cs="Arial"/>
          <w:sz w:val="24"/>
          <w:szCs w:val="24"/>
        </w:rPr>
      </w:pPr>
      <w:r>
        <w:rPr>
          <w:rFonts w:ascii="Palatino Linotype" w:hAnsi="Palatino Linotype" w:cs="Arial"/>
          <w:sz w:val="24"/>
          <w:szCs w:val="24"/>
        </w:rPr>
        <w:t>Tal como se aprecia de la respuesta del Sujeto Obligado, éste considera que la búsqueda de la información es realizar una investigación, acción a la que no están obligados. Sobre este aspecto, l</w:t>
      </w:r>
      <w:r w:rsidR="005279CD">
        <w:rPr>
          <w:rFonts w:ascii="Palatino Linotype" w:hAnsi="Palatino Linotype" w:cs="Arial"/>
          <w:sz w:val="24"/>
          <w:szCs w:val="24"/>
        </w:rPr>
        <w:t xml:space="preserve">a </w:t>
      </w:r>
      <w:r>
        <w:rPr>
          <w:rFonts w:ascii="Palatino Linotype" w:hAnsi="Palatino Linotype" w:cs="Arial"/>
          <w:sz w:val="24"/>
          <w:szCs w:val="24"/>
        </w:rPr>
        <w:t>Ponencia encargada</w:t>
      </w:r>
      <w:r w:rsidR="005279CD">
        <w:rPr>
          <w:rFonts w:ascii="Palatino Linotype" w:hAnsi="Palatino Linotype" w:cs="Arial"/>
          <w:sz w:val="24"/>
          <w:szCs w:val="24"/>
        </w:rPr>
        <w:t xml:space="preserve"> fue </w:t>
      </w:r>
      <w:r>
        <w:rPr>
          <w:rFonts w:ascii="Palatino Linotype" w:hAnsi="Palatino Linotype" w:cs="Arial"/>
          <w:sz w:val="24"/>
          <w:szCs w:val="24"/>
        </w:rPr>
        <w:t>omisa en realizar manifestaciones al respecto.</w:t>
      </w:r>
    </w:p>
    <w:p w:rsidR="005279CD" w:rsidRDefault="005279CD" w:rsidP="005279CD">
      <w:pPr>
        <w:pStyle w:val="Prrafodelista"/>
        <w:autoSpaceDE w:val="0"/>
        <w:autoSpaceDN w:val="0"/>
        <w:adjustRightInd w:val="0"/>
        <w:spacing w:after="240" w:line="360" w:lineRule="auto"/>
        <w:ind w:left="360"/>
        <w:jc w:val="both"/>
        <w:rPr>
          <w:rFonts w:ascii="Palatino Linotype" w:hAnsi="Palatino Linotype" w:cs="Arial"/>
          <w:sz w:val="24"/>
          <w:szCs w:val="24"/>
        </w:rPr>
      </w:pPr>
    </w:p>
    <w:p w:rsidR="005279CD" w:rsidRPr="004B787A" w:rsidRDefault="005279CD" w:rsidP="005279CD">
      <w:pPr>
        <w:pStyle w:val="Prrafodelista"/>
        <w:numPr>
          <w:ilvl w:val="0"/>
          <w:numId w:val="8"/>
        </w:numPr>
        <w:autoSpaceDE w:val="0"/>
        <w:autoSpaceDN w:val="0"/>
        <w:adjustRightInd w:val="0"/>
        <w:spacing w:after="240" w:line="360" w:lineRule="auto"/>
        <w:jc w:val="both"/>
        <w:rPr>
          <w:rFonts w:ascii="Palatino Linotype" w:hAnsi="Palatino Linotype" w:cs="Arial"/>
          <w:sz w:val="28"/>
          <w:szCs w:val="24"/>
        </w:rPr>
      </w:pPr>
      <w:r w:rsidRPr="004B787A">
        <w:rPr>
          <w:rFonts w:ascii="Palatino Linotype" w:eastAsia="MS Mincho" w:hAnsi="Palatino Linotype" w:cs="Arial"/>
          <w:sz w:val="24"/>
        </w:rPr>
        <w:t xml:space="preserve">El Poder Judicial del Estado de México ha señalado que buscar y localizar la información requerida por los solicitantes implica procesar datos o practicar investigaciones para arribar a los datos requeridos por el particular. Siendo esta una respuesta recurrente del </w:t>
      </w:r>
      <w:r w:rsidRPr="004B787A">
        <w:rPr>
          <w:rFonts w:ascii="Palatino Linotype" w:eastAsia="MS Mincho" w:hAnsi="Palatino Linotype" w:cs="Arial"/>
          <w:b/>
          <w:sz w:val="24"/>
        </w:rPr>
        <w:t>SUJETO OBLIGADO</w:t>
      </w:r>
      <w:r w:rsidRPr="004B787A">
        <w:rPr>
          <w:rFonts w:ascii="Palatino Linotype" w:eastAsia="MS Mincho" w:hAnsi="Palatino Linotype" w:cs="Arial"/>
          <w:sz w:val="24"/>
        </w:rPr>
        <w:t xml:space="preserve">, conviene que este Órgano Garante se pronuncie explícitamente </w:t>
      </w:r>
      <w:r w:rsidRPr="004B787A">
        <w:rPr>
          <w:rFonts w:ascii="Palatino Linotype" w:eastAsia="MS Mincho" w:hAnsi="Palatino Linotype" w:cs="Arial"/>
          <w:i/>
          <w:sz w:val="24"/>
        </w:rPr>
        <w:t>–nuevamente–</w:t>
      </w:r>
      <w:r w:rsidRPr="004B787A">
        <w:rPr>
          <w:rFonts w:ascii="Palatino Linotype" w:eastAsia="MS Mincho" w:hAnsi="Palatino Linotype" w:cs="Arial"/>
          <w:sz w:val="24"/>
        </w:rPr>
        <w:t xml:space="preserve"> para </w:t>
      </w:r>
      <w:r w:rsidRPr="004B787A">
        <w:rPr>
          <w:rFonts w:ascii="Palatino Linotype" w:eastAsia="MS Mincho" w:hAnsi="Palatino Linotype" w:cs="Arial"/>
          <w:b/>
          <w:sz w:val="24"/>
        </w:rPr>
        <w:t xml:space="preserve">aclarar </w:t>
      </w:r>
      <w:r w:rsidRPr="004B787A">
        <w:rPr>
          <w:rFonts w:ascii="Palatino Linotype" w:eastAsia="MS Mincho" w:hAnsi="Palatino Linotype" w:cs="Arial"/>
          <w:sz w:val="24"/>
        </w:rPr>
        <w:t>este tema, esperando que lo anterior sea suficiente para evitar errores que se han venido cometiendo sistemáticamente en la tutela de este derecho que, en primera instancia, corresponde garantizar a los sujetos obligados, entre ellos el Poder Judicial del Estado de México.</w:t>
      </w:r>
    </w:p>
    <w:p w:rsidR="005279CD" w:rsidRPr="005279CD" w:rsidRDefault="005279CD" w:rsidP="005279CD">
      <w:pPr>
        <w:pStyle w:val="Prrafodelista"/>
        <w:rPr>
          <w:rFonts w:ascii="Palatino Linotype" w:hAnsi="Palatino Linotype" w:cs="Arial"/>
          <w:sz w:val="24"/>
          <w:szCs w:val="24"/>
        </w:rPr>
      </w:pPr>
    </w:p>
    <w:p w:rsidR="005279CD" w:rsidRPr="004B787A" w:rsidRDefault="005279CD" w:rsidP="005279CD">
      <w:pPr>
        <w:pStyle w:val="Prrafodelista"/>
        <w:numPr>
          <w:ilvl w:val="0"/>
          <w:numId w:val="8"/>
        </w:numPr>
        <w:autoSpaceDE w:val="0"/>
        <w:autoSpaceDN w:val="0"/>
        <w:adjustRightInd w:val="0"/>
        <w:spacing w:after="240" w:line="360" w:lineRule="auto"/>
        <w:jc w:val="both"/>
        <w:rPr>
          <w:rFonts w:ascii="Palatino Linotype" w:hAnsi="Palatino Linotype" w:cs="Arial"/>
          <w:sz w:val="28"/>
          <w:szCs w:val="24"/>
        </w:rPr>
      </w:pPr>
      <w:r w:rsidRPr="004B787A">
        <w:rPr>
          <w:rFonts w:ascii="Palatino Linotype" w:eastAsia="MS Mincho" w:hAnsi="Palatino Linotype" w:cs="Arial"/>
          <w:sz w:val="24"/>
        </w:rPr>
        <w:t xml:space="preserve">En efecto, el artículo 12 párrafo segundo de la </w:t>
      </w:r>
      <w:r w:rsidRPr="004B787A">
        <w:rPr>
          <w:rFonts w:ascii="Palatino Linotype" w:eastAsia="MS Mincho" w:hAnsi="Palatino Linotype" w:cs="Arial"/>
          <w:b/>
          <w:sz w:val="24"/>
        </w:rPr>
        <w:t>Ley de Transparencia y Acceso a la Información Pública del Estado de México y Municipios</w:t>
      </w:r>
      <w:r w:rsidRPr="004B787A">
        <w:rPr>
          <w:rFonts w:ascii="Palatino Linotype" w:eastAsia="MS Mincho" w:hAnsi="Palatino Linotype" w:cs="Arial"/>
          <w:sz w:val="24"/>
        </w:rPr>
        <w:t xml:space="preserve"> exime a los sujetos </w:t>
      </w:r>
      <w:r w:rsidRPr="004B787A">
        <w:rPr>
          <w:rFonts w:ascii="Palatino Linotype" w:eastAsia="MS Mincho" w:hAnsi="Palatino Linotype" w:cs="Arial"/>
          <w:sz w:val="24"/>
        </w:rPr>
        <w:lastRenderedPageBreak/>
        <w:t xml:space="preserve">obligados del deber de procesar, generar, resumir, efectuar cálculos o practicar investigaciones para presentar la información conforme al interés del solicitante. Este Órgano Garante en distintas oportunidades ha señalado que responder a formularios o cuestionarios requeridos por las personas, a través de un documento </w:t>
      </w:r>
      <w:r w:rsidRPr="004B787A">
        <w:rPr>
          <w:rFonts w:ascii="Palatino Linotype" w:eastAsia="MS Mincho" w:hAnsi="Palatino Linotype" w:cs="Arial"/>
          <w:i/>
          <w:sz w:val="24"/>
        </w:rPr>
        <w:t>ad hoc</w:t>
      </w:r>
      <w:r w:rsidRPr="004B787A">
        <w:rPr>
          <w:rFonts w:ascii="Palatino Linotype" w:eastAsia="MS Mincho" w:hAnsi="Palatino Linotype" w:cs="Arial"/>
          <w:sz w:val="24"/>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4B787A">
        <w:rPr>
          <w:rStyle w:val="Refdenotaalpie"/>
          <w:rFonts w:ascii="Palatino Linotype" w:eastAsia="MS Mincho" w:hAnsi="Palatino Linotype" w:cs="Arial"/>
          <w:sz w:val="24"/>
        </w:rPr>
        <w:footnoteReference w:id="1"/>
      </w:r>
      <w:r w:rsidRPr="004B787A">
        <w:rPr>
          <w:rFonts w:ascii="Palatino Linotype" w:eastAsia="MS Mincho" w:hAnsi="Palatino Linotype" w:cs="Arial"/>
          <w:sz w:val="24"/>
        </w:rPr>
        <w:t xml:space="preserve"> </w:t>
      </w:r>
    </w:p>
    <w:p w:rsidR="005279CD" w:rsidRPr="005279CD" w:rsidRDefault="005279CD" w:rsidP="005279CD">
      <w:pPr>
        <w:pStyle w:val="Prrafodelista"/>
        <w:rPr>
          <w:rFonts w:ascii="Palatino Linotype" w:hAnsi="Palatino Linotype" w:cs="Arial"/>
          <w:sz w:val="24"/>
          <w:szCs w:val="24"/>
        </w:rPr>
      </w:pPr>
    </w:p>
    <w:p w:rsidR="005279CD" w:rsidRPr="004B787A" w:rsidRDefault="005279CD" w:rsidP="005279CD">
      <w:pPr>
        <w:pStyle w:val="Prrafodelista"/>
        <w:numPr>
          <w:ilvl w:val="0"/>
          <w:numId w:val="8"/>
        </w:numPr>
        <w:autoSpaceDE w:val="0"/>
        <w:autoSpaceDN w:val="0"/>
        <w:adjustRightInd w:val="0"/>
        <w:spacing w:after="240" w:line="360" w:lineRule="auto"/>
        <w:jc w:val="both"/>
        <w:rPr>
          <w:rFonts w:ascii="Palatino Linotype" w:hAnsi="Palatino Linotype" w:cs="Arial"/>
          <w:sz w:val="28"/>
          <w:szCs w:val="24"/>
        </w:rPr>
      </w:pPr>
      <w:r w:rsidRPr="004B787A">
        <w:rPr>
          <w:rFonts w:ascii="Palatino Linotype" w:eastAsia="MS Mincho" w:hAnsi="Palatino Linotype" w:cs="Arial"/>
          <w:sz w:val="24"/>
        </w:rPr>
        <w:lastRenderedPageBreak/>
        <w:t>Sistemáticamente hemos señalado, y así lo entienden tanto otros órganos garantes</w:t>
      </w:r>
      <w:r w:rsidRPr="004B787A">
        <w:rPr>
          <w:rStyle w:val="Refdenotaalpie"/>
          <w:rFonts w:ascii="Palatino Linotype" w:eastAsia="MS Mincho" w:hAnsi="Palatino Linotype" w:cs="Arial"/>
          <w:sz w:val="24"/>
        </w:rPr>
        <w:footnoteReference w:id="2"/>
      </w:r>
      <w:r w:rsidRPr="004B787A">
        <w:rPr>
          <w:rFonts w:ascii="Palatino Linotype" w:eastAsia="MS Mincho" w:hAnsi="Palatino Linotype" w:cs="Arial"/>
          <w:sz w:val="24"/>
        </w:rPr>
        <w:t>como órganos internacionales especializados,</w:t>
      </w:r>
      <w:r w:rsidRPr="004B787A">
        <w:rPr>
          <w:rStyle w:val="Refdenotaalpie"/>
          <w:rFonts w:ascii="Palatino Linotype" w:eastAsia="MS Mincho" w:hAnsi="Palatino Linotype" w:cs="Arial"/>
          <w:sz w:val="24"/>
        </w:rPr>
        <w:footnoteReference w:id="3"/>
      </w:r>
      <w:r w:rsidRPr="004B787A">
        <w:rPr>
          <w:rFonts w:ascii="Palatino Linotype" w:eastAsia="MS Mincho" w:hAnsi="Palatino Linotype" w:cs="Arial"/>
          <w:sz w:val="24"/>
        </w:rPr>
        <w:t xml:space="preserve"> que el derecho de acceso a la información pública consiste en el acceso a documentos generados por la autoridad con antelación a que fuera presentada la solicitud de acceso a la información pública.</w:t>
      </w:r>
    </w:p>
    <w:p w:rsidR="0070781E" w:rsidRPr="004B787A" w:rsidRDefault="0070781E" w:rsidP="0070781E">
      <w:pPr>
        <w:pStyle w:val="Prrafodelista"/>
        <w:rPr>
          <w:rFonts w:ascii="Palatino Linotype" w:hAnsi="Palatino Linotype" w:cs="Arial"/>
          <w:sz w:val="28"/>
          <w:szCs w:val="24"/>
        </w:rPr>
      </w:pPr>
    </w:p>
    <w:p w:rsidR="005279CD" w:rsidRPr="004B787A" w:rsidRDefault="005279CD" w:rsidP="0070781E">
      <w:pPr>
        <w:pStyle w:val="Prrafodelista"/>
        <w:numPr>
          <w:ilvl w:val="0"/>
          <w:numId w:val="8"/>
        </w:numPr>
        <w:autoSpaceDE w:val="0"/>
        <w:autoSpaceDN w:val="0"/>
        <w:adjustRightInd w:val="0"/>
        <w:spacing w:after="240" w:line="360" w:lineRule="auto"/>
        <w:jc w:val="both"/>
        <w:rPr>
          <w:rFonts w:ascii="Palatino Linotype" w:hAnsi="Palatino Linotype" w:cs="Arial"/>
          <w:sz w:val="28"/>
          <w:szCs w:val="24"/>
        </w:rPr>
      </w:pPr>
      <w:r w:rsidRPr="004B787A">
        <w:rPr>
          <w:rFonts w:ascii="Palatino Linotype" w:eastAsia="MS Mincho" w:hAnsi="Palatino Linotype" w:cs="Arial"/>
          <w:sz w:val="24"/>
        </w:rPr>
        <w:t xml:space="preserve">Quien ejerce el derecho, como bien lo refieren los artículos 155 fracción III y 159 de la Ley de Transparencia de nuestra entidad, no está obligado a conocer con precisión el nombre correcto y exacto de la información a la que pretende acceder, lo único que se requiere es que realice una descripción de la información </w:t>
      </w:r>
      <w:r w:rsidRPr="004B787A">
        <w:rPr>
          <w:rFonts w:ascii="Palatino Linotype" w:eastAsia="MS Mincho" w:hAnsi="Palatino Linotype" w:cs="Arial"/>
          <w:sz w:val="24"/>
        </w:rPr>
        <w:lastRenderedPageBreak/>
        <w:t xml:space="preserve">a la que pretende acceder y, de ser el caso, complemente con cualquier detalle que permita su adecuada localización. Desde el punto de vista del </w:t>
      </w:r>
      <w:r w:rsidRPr="004B787A">
        <w:rPr>
          <w:rFonts w:ascii="Palatino Linotype" w:eastAsia="MS Mincho" w:hAnsi="Palatino Linotype" w:cs="Arial"/>
          <w:b/>
          <w:sz w:val="24"/>
        </w:rPr>
        <w:t>SUJETO OBLIGADO</w:t>
      </w:r>
      <w:r w:rsidRPr="004B787A">
        <w:rPr>
          <w:rFonts w:ascii="Palatino Linotype" w:eastAsia="MS Mincho" w:hAnsi="Palatino Linotype" w:cs="Arial"/>
          <w:sz w:val="24"/>
        </w:rPr>
        <w:t>, localizar, en su acervo documental, la información, implica realizar una investigación y, al no estar obligado a practicar investigaciones, se considera eximido del deber de entregar la información. Respuesta que, a criterio de este Órgano Garante, constituye una afectación al derecho de acceso a la información pública que pretende impedir injustificadamente que las personas accedan a la información, convirtiéndose en una restricción indirecta del derecho.</w:t>
      </w:r>
      <w:r w:rsidRPr="004B787A">
        <w:rPr>
          <w:rStyle w:val="Refdenotaalpie"/>
          <w:rFonts w:ascii="Palatino Linotype" w:eastAsia="MS Mincho" w:hAnsi="Palatino Linotype" w:cs="Arial"/>
          <w:sz w:val="24"/>
        </w:rPr>
        <w:footnoteReference w:id="4"/>
      </w:r>
    </w:p>
    <w:p w:rsidR="005279CD" w:rsidRPr="004B787A" w:rsidRDefault="005279CD" w:rsidP="0070781E">
      <w:pPr>
        <w:pStyle w:val="Prrafodelista"/>
        <w:numPr>
          <w:ilvl w:val="0"/>
          <w:numId w:val="8"/>
        </w:numPr>
        <w:autoSpaceDE w:val="0"/>
        <w:autoSpaceDN w:val="0"/>
        <w:adjustRightInd w:val="0"/>
        <w:spacing w:after="240" w:line="360" w:lineRule="auto"/>
        <w:jc w:val="both"/>
        <w:rPr>
          <w:rFonts w:ascii="Palatino Linotype" w:hAnsi="Palatino Linotype" w:cs="Arial"/>
          <w:sz w:val="28"/>
          <w:szCs w:val="24"/>
        </w:rPr>
      </w:pPr>
      <w:r w:rsidRPr="004B787A">
        <w:rPr>
          <w:rFonts w:ascii="Palatino Linotype" w:eastAsia="MS Mincho" w:hAnsi="Palatino Linotype" w:cs="Arial"/>
          <w:sz w:val="24"/>
        </w:rPr>
        <w:lastRenderedPageBreak/>
        <w:t>Lo anterior es así porque es mandato constitucional el deber de todas las autoridades de documentar todas sus decisiones; de dicho mandato constitucional se desprende la obligación legal que se impone, en el Estado de México, a todas las autoridades, entre ellas los Poderes Públicos, segú</w:t>
      </w:r>
      <w:r w:rsidR="0070781E" w:rsidRPr="004B787A">
        <w:rPr>
          <w:rFonts w:ascii="Palatino Linotype" w:eastAsia="MS Mincho" w:hAnsi="Palatino Linotype" w:cs="Arial"/>
          <w:sz w:val="24"/>
        </w:rPr>
        <w:t xml:space="preserve">n lo señalado en el art. </w:t>
      </w:r>
      <w:r w:rsidRPr="004B787A">
        <w:rPr>
          <w:rFonts w:ascii="Palatino Linotype" w:eastAsia="MS Mincho" w:hAnsi="Palatino Linotype" w:cs="Arial"/>
          <w:sz w:val="24"/>
        </w:rPr>
        <w:t xml:space="preserve">3 de la </w:t>
      </w:r>
      <w:r w:rsidRPr="004B787A">
        <w:rPr>
          <w:rFonts w:ascii="Palatino Linotype" w:eastAsia="MS Mincho" w:hAnsi="Palatino Linotype" w:cs="Arial"/>
          <w:b/>
          <w:sz w:val="24"/>
        </w:rPr>
        <w:t>Ley de Documentos Administrativos e Históricos del Estado de México,</w:t>
      </w:r>
      <w:r w:rsidRPr="004B787A">
        <w:rPr>
          <w:rFonts w:ascii="Palatino Linotype" w:eastAsia="MS Mincho" w:hAnsi="Palatino Linotype" w:cs="Arial"/>
          <w:sz w:val="24"/>
        </w:rPr>
        <w:t xml:space="preserve"> de depositar dichos documentos en los archivos de trámite, según señala el artículo 4 del mismo ordenamiento legal, y el archivo del Poder Judicial debe adoptar medidas para la clasificación, catalogación y depuración de documentos, si nos atenemos a lo dispuesto por el art. 17 inciso a) de la misma ley.  </w:t>
      </w:r>
    </w:p>
    <w:p w:rsidR="0070781E" w:rsidRPr="004B787A" w:rsidRDefault="0070781E" w:rsidP="0070781E">
      <w:pPr>
        <w:pStyle w:val="Prrafodelista"/>
        <w:rPr>
          <w:rFonts w:ascii="Palatino Linotype" w:hAnsi="Palatino Linotype" w:cs="Arial"/>
          <w:sz w:val="28"/>
          <w:szCs w:val="24"/>
        </w:rPr>
      </w:pPr>
    </w:p>
    <w:p w:rsidR="005279CD" w:rsidRPr="0070781E" w:rsidRDefault="005279CD" w:rsidP="0070781E">
      <w:pPr>
        <w:pStyle w:val="Prrafodelista"/>
        <w:numPr>
          <w:ilvl w:val="0"/>
          <w:numId w:val="8"/>
        </w:numPr>
        <w:autoSpaceDE w:val="0"/>
        <w:autoSpaceDN w:val="0"/>
        <w:adjustRightInd w:val="0"/>
        <w:spacing w:after="240" w:line="360" w:lineRule="auto"/>
        <w:jc w:val="both"/>
        <w:rPr>
          <w:rFonts w:ascii="Palatino Linotype" w:hAnsi="Palatino Linotype" w:cs="Arial"/>
          <w:sz w:val="24"/>
          <w:szCs w:val="24"/>
        </w:rPr>
      </w:pPr>
      <w:r w:rsidRPr="004B787A">
        <w:rPr>
          <w:rFonts w:ascii="Palatino Linotype" w:eastAsia="Cambria" w:hAnsi="Palatino Linotype" w:cs="Times New Roman"/>
          <w:sz w:val="24"/>
        </w:rPr>
        <w:t xml:space="preserve">Fortalece lo anterior el que el </w:t>
      </w:r>
      <w:r w:rsidRPr="004B787A">
        <w:rPr>
          <w:rFonts w:ascii="Palatino Linotype" w:eastAsia="Cambria" w:hAnsi="Palatino Linotype" w:cs="Times New Roman"/>
          <w:b/>
          <w:sz w:val="24"/>
        </w:rPr>
        <w:t>Reglamento Interior del Consejo de la Judicatura del Estado de México</w:t>
      </w:r>
      <w:r w:rsidRPr="004B787A">
        <w:rPr>
          <w:rFonts w:ascii="Palatino Linotype" w:eastAsia="Cambria" w:hAnsi="Palatino Linotype" w:cs="Times New Roman"/>
          <w:sz w:val="24"/>
        </w:rPr>
        <w:t xml:space="preserve"> en sus artículos 18 y 35 señala que la Dirección del Archivo General tendrá atribuciones que le marca la Ley Orgánica del Poder Judicial,  como también las del reglamento en cuestión, consistentes</w:t>
      </w:r>
      <w:r w:rsidRPr="0070781E">
        <w:rPr>
          <w:rFonts w:ascii="Palatino Linotype" w:eastAsia="Cambria" w:hAnsi="Palatino Linotype" w:cs="Times New Roman"/>
        </w:rPr>
        <w:t xml:space="preserve"> en </w:t>
      </w:r>
      <w:r w:rsidRPr="0070781E">
        <w:rPr>
          <w:rFonts w:ascii="Palatino Linotype" w:eastAsia="Cambria" w:hAnsi="Palatino Linotype" w:cs="Times New Roman"/>
          <w:i/>
        </w:rPr>
        <w:t xml:space="preserve">establecer y controlar los trabajos técnicos necesarios para la clasificación, catalogación, conservación, depuración, restauración y resguardo de los documentos que forman parte del acervo del Poder Judicial; </w:t>
      </w:r>
      <w:r w:rsidRPr="0070781E">
        <w:rPr>
          <w:rFonts w:ascii="Palatino Linotype" w:eastAsia="Cambria" w:hAnsi="Palatino Linotype" w:cs="Times New Roman"/>
          <w:i/>
          <w:u w:val="single"/>
        </w:rPr>
        <w:t xml:space="preserve">recibir, resguardar e inventariar la documentación que remitan las salas, tribunales, juzgados, </w:t>
      </w:r>
      <w:r w:rsidRPr="0070781E">
        <w:rPr>
          <w:rFonts w:ascii="Palatino Linotype" w:eastAsia="Cambria" w:hAnsi="Palatino Linotype" w:cs="Times New Roman"/>
          <w:i/>
          <w:u w:val="single"/>
        </w:rPr>
        <w:lastRenderedPageBreak/>
        <w:t>unidades administrativas y delegaciones regionales de archivo</w:t>
      </w:r>
      <w:r w:rsidRPr="0070781E">
        <w:rPr>
          <w:rFonts w:ascii="Palatino Linotype" w:eastAsia="Cambria" w:hAnsi="Palatino Linotype" w:cs="Times New Roman"/>
          <w:i/>
        </w:rPr>
        <w:t xml:space="preserve">; llevar a cabo los trabajos de digitalización de expedientes; </w:t>
      </w:r>
      <w:r w:rsidRPr="0070781E">
        <w:rPr>
          <w:rFonts w:ascii="Palatino Linotype" w:eastAsia="Cambria" w:hAnsi="Palatino Linotype" w:cs="Times New Roman"/>
          <w:i/>
          <w:u w:val="single"/>
        </w:rPr>
        <w:t>mantener al corriente la clasificación, catalogación y ordenación física de los documentos concentrados</w:t>
      </w:r>
      <w:r w:rsidRPr="0070781E">
        <w:rPr>
          <w:rFonts w:ascii="Palatino Linotype" w:eastAsia="Cambria" w:hAnsi="Palatino Linotype" w:cs="Times New Roman"/>
          <w:i/>
        </w:rPr>
        <w:t>;</w:t>
      </w:r>
      <w:r w:rsidRPr="0070781E">
        <w:rPr>
          <w:rFonts w:ascii="Palatino Linotype" w:eastAsia="Cambria" w:hAnsi="Palatino Linotype" w:cs="Times New Roman"/>
        </w:rPr>
        <w:t xml:space="preserve"> y la Dirección de Información y Estadística tendrá las atribuciones de </w:t>
      </w:r>
      <w:r w:rsidRPr="0070781E">
        <w:rPr>
          <w:rFonts w:ascii="Palatino Linotype" w:eastAsia="Cambria" w:hAnsi="Palatino Linotype" w:cs="Times New Roman"/>
          <w:i/>
          <w:u w:val="single"/>
        </w:rPr>
        <w:t xml:space="preserve">recabar, organizar, procesar y analizar la información estadística relativa a las actividades que realizan los órganos jurisdiccionales </w:t>
      </w:r>
      <w:r w:rsidRPr="0070781E">
        <w:rPr>
          <w:rFonts w:ascii="Palatino Linotype" w:eastAsia="Cambria" w:hAnsi="Palatino Linotype" w:cs="Times New Roman"/>
          <w:i/>
        </w:rPr>
        <w:t xml:space="preserve">y </w:t>
      </w:r>
      <w:r w:rsidRPr="0070781E">
        <w:rPr>
          <w:rFonts w:ascii="Palatino Linotype" w:eastAsia="Cambria" w:hAnsi="Palatino Linotype" w:cs="Times New Roman"/>
          <w:i/>
          <w:u w:val="single"/>
        </w:rPr>
        <w:t>contar con información actualizada que sirva para la toma de decisiones</w:t>
      </w:r>
      <w:r w:rsidRPr="0070781E">
        <w:rPr>
          <w:rFonts w:ascii="Palatino Linotype" w:eastAsia="Cambria" w:hAnsi="Palatino Linotype" w:cs="Times New Roman"/>
          <w:i/>
        </w:rPr>
        <w:t>, promoviendo para su integración el empleo de la tecnología.</w:t>
      </w:r>
    </w:p>
    <w:p w:rsidR="0070781E" w:rsidRPr="0070781E" w:rsidRDefault="0070781E" w:rsidP="0070781E">
      <w:pPr>
        <w:pStyle w:val="Prrafodelista"/>
        <w:autoSpaceDE w:val="0"/>
        <w:autoSpaceDN w:val="0"/>
        <w:adjustRightInd w:val="0"/>
        <w:spacing w:after="240" w:line="360" w:lineRule="auto"/>
        <w:ind w:left="360"/>
        <w:jc w:val="both"/>
        <w:rPr>
          <w:rFonts w:ascii="Palatino Linotype" w:hAnsi="Palatino Linotype" w:cs="Arial"/>
          <w:sz w:val="24"/>
          <w:szCs w:val="24"/>
        </w:rPr>
      </w:pPr>
    </w:p>
    <w:p w:rsidR="005279CD" w:rsidRPr="004B787A" w:rsidRDefault="005279CD" w:rsidP="0070781E">
      <w:pPr>
        <w:pStyle w:val="Prrafodelista"/>
        <w:numPr>
          <w:ilvl w:val="0"/>
          <w:numId w:val="8"/>
        </w:numPr>
        <w:autoSpaceDE w:val="0"/>
        <w:autoSpaceDN w:val="0"/>
        <w:adjustRightInd w:val="0"/>
        <w:spacing w:after="240" w:line="360" w:lineRule="auto"/>
        <w:jc w:val="both"/>
        <w:rPr>
          <w:rFonts w:ascii="Palatino Linotype" w:hAnsi="Palatino Linotype" w:cs="Arial"/>
          <w:sz w:val="28"/>
          <w:szCs w:val="24"/>
        </w:rPr>
      </w:pPr>
      <w:r w:rsidRPr="004B787A">
        <w:rPr>
          <w:rFonts w:ascii="Palatino Linotype" w:eastAsia="MS Mincho" w:hAnsi="Palatino Linotype" w:cs="Arial"/>
          <w:sz w:val="24"/>
        </w:rPr>
        <w:t xml:space="preserve">Por lo que el Poder Judicial del Estado debe documentar las decisiones que  adopta en el ejercicio de sus funciones, facultades y atribuciones, la generación de dichos documentos implica su conservación, resguardo y clasificación bajo criterios archivísticos que les permitan dar un orden lógico funcional tanto para su debida conservación, consulta, acceso, concentración y, en su caso, depuración. Por lo que eso que se impone al Poder Judicial, es una obligación común para todos los sujetos obligados, actividad básica e indispensable para facilitar el ejercicio del derecho de acceso a la información pública. </w:t>
      </w:r>
    </w:p>
    <w:p w:rsidR="0070781E" w:rsidRPr="004B787A" w:rsidRDefault="0070781E" w:rsidP="0070781E">
      <w:pPr>
        <w:pStyle w:val="Prrafodelista"/>
        <w:rPr>
          <w:rFonts w:ascii="Palatino Linotype" w:hAnsi="Palatino Linotype" w:cs="Arial"/>
          <w:sz w:val="28"/>
          <w:szCs w:val="24"/>
        </w:rPr>
      </w:pPr>
    </w:p>
    <w:p w:rsidR="005279CD" w:rsidRPr="004B787A" w:rsidRDefault="005279CD" w:rsidP="0070781E">
      <w:pPr>
        <w:pStyle w:val="Prrafodelista"/>
        <w:numPr>
          <w:ilvl w:val="0"/>
          <w:numId w:val="8"/>
        </w:numPr>
        <w:autoSpaceDE w:val="0"/>
        <w:autoSpaceDN w:val="0"/>
        <w:adjustRightInd w:val="0"/>
        <w:spacing w:after="240" w:line="360" w:lineRule="auto"/>
        <w:jc w:val="both"/>
        <w:rPr>
          <w:rFonts w:ascii="Palatino Linotype" w:hAnsi="Palatino Linotype" w:cs="Arial"/>
          <w:sz w:val="28"/>
          <w:szCs w:val="24"/>
        </w:rPr>
      </w:pPr>
      <w:r w:rsidRPr="004B787A">
        <w:rPr>
          <w:rFonts w:ascii="Palatino Linotype" w:eastAsia="MS Mincho" w:hAnsi="Palatino Linotype" w:cs="Arial"/>
          <w:sz w:val="24"/>
        </w:rPr>
        <w:t>En ese mismo sentido se ha pronunciado este Órgano Garante al señalar:</w:t>
      </w:r>
    </w:p>
    <w:p w:rsidR="005279CD" w:rsidRPr="006C4733" w:rsidRDefault="005279CD" w:rsidP="005279CD">
      <w:pPr>
        <w:spacing w:line="360" w:lineRule="auto"/>
        <w:ind w:left="709" w:right="616"/>
        <w:jc w:val="both"/>
        <w:rPr>
          <w:rFonts w:ascii="Palatino Linotype" w:eastAsia="Times New Roman" w:hAnsi="Palatino Linotype" w:cs="Arial"/>
          <w:i/>
          <w:lang w:val="es-ES"/>
        </w:rPr>
      </w:pPr>
      <w:r w:rsidRPr="006C4733">
        <w:rPr>
          <w:rFonts w:ascii="Palatino Linotype" w:eastAsia="Times New Roman" w:hAnsi="Palatino Linotype" w:cs="Arial"/>
          <w:b/>
          <w:lang w:val="es-ES"/>
        </w:rPr>
        <w:t>PRESERVACIÓN DE LA INFORMACIÓN, DEBER DE.</w:t>
      </w:r>
      <w:r w:rsidRPr="006C4733">
        <w:rPr>
          <w:rFonts w:ascii="Palatino Linotype" w:eastAsia="Times New Roman" w:hAnsi="Palatino Linotype" w:cs="Arial"/>
          <w:lang w:val="es-ES"/>
        </w:rPr>
        <w:t xml:space="preserve"> </w:t>
      </w:r>
      <w:r w:rsidRPr="006C4733">
        <w:rPr>
          <w:rFonts w:ascii="Palatino Linotype" w:eastAsia="Times New Roman" w:hAnsi="Palatino Linotype" w:cs="Arial"/>
          <w:i/>
          <w:lang w:val="es-ES"/>
        </w:rPr>
        <w:t xml:space="preserve">Los sujetos obligados tienen el deber constitucional de preservar los documentos en archivos actualizados y cumpliendo los estándares señalados en la ley de documentos administrativos e históricos del Estado de México, los lineamientos para la organización y conservación de archivos expedidos por el Consejo Nacional del Sistema Nacional de Transparencia y los lineamientos para la administración de documentos en el Estado de México, </w:t>
      </w:r>
      <w:r w:rsidRPr="006C4733">
        <w:rPr>
          <w:rFonts w:ascii="Palatino Linotype" w:eastAsia="Times New Roman" w:hAnsi="Palatino Linotype" w:cs="Arial"/>
          <w:i/>
          <w:lang w:val="es-ES"/>
        </w:rPr>
        <w:lastRenderedPageBreak/>
        <w:t xml:space="preserve">expedidos por la Secretaría Técnica del Comité Técnico de Documentos del Sistema Estatal de Documentación, según corresponda.  </w:t>
      </w:r>
    </w:p>
    <w:p w:rsidR="005279CD" w:rsidRDefault="005279CD" w:rsidP="005279CD">
      <w:pPr>
        <w:spacing w:line="360" w:lineRule="auto"/>
        <w:ind w:left="709" w:right="616"/>
        <w:jc w:val="both"/>
        <w:rPr>
          <w:rFonts w:ascii="Palatino Linotype" w:hAnsi="Palatino Linotype"/>
          <w:b/>
        </w:rPr>
      </w:pPr>
      <w:r w:rsidRPr="006C4733">
        <w:rPr>
          <w:rFonts w:ascii="Palatino Linotype" w:hAnsi="Palatino Linotype" w:cs="Arial"/>
          <w:b/>
          <w:bCs/>
        </w:rPr>
        <w:t xml:space="preserve">01563/INFOEM/IP/RR/2016, </w:t>
      </w:r>
      <w:r w:rsidRPr="006C4733">
        <w:rPr>
          <w:rFonts w:ascii="Palatino Linotype" w:hAnsi="Palatino Linotype" w:cs="Arial"/>
        </w:rPr>
        <w:t xml:space="preserve">en contra de la respuesta </w:t>
      </w:r>
      <w:r w:rsidRPr="006C4733">
        <w:rPr>
          <w:rFonts w:ascii="Palatino Linotype" w:hAnsi="Palatino Linotype"/>
        </w:rPr>
        <w:t>de</w:t>
      </w:r>
      <w:r w:rsidRPr="006C4733">
        <w:rPr>
          <w:rFonts w:ascii="Palatino Linotype" w:hAnsi="Palatino Linotype"/>
          <w:b/>
        </w:rPr>
        <w:t>l Ayuntamiento de La Paz</w:t>
      </w:r>
      <w:r w:rsidRPr="006C4733">
        <w:rPr>
          <w:rFonts w:ascii="Palatino Linotype" w:eastAsia="Times New Roman" w:hAnsi="Palatino Linotype" w:cs="Arial"/>
          <w:i/>
          <w:lang w:val="es-ES"/>
        </w:rPr>
        <w:t xml:space="preserve">. </w:t>
      </w:r>
      <w:r w:rsidRPr="006C4733">
        <w:rPr>
          <w:rFonts w:ascii="Palatino Linotype" w:hAnsi="Palatino Linotype"/>
          <w:b/>
        </w:rPr>
        <w:t>Comisionado Ponente José Guadalupe Luna Hernández</w:t>
      </w:r>
    </w:p>
    <w:p w:rsidR="005279CD" w:rsidRPr="004B787A" w:rsidRDefault="005279CD" w:rsidP="0070781E">
      <w:pPr>
        <w:pStyle w:val="Prrafodelista"/>
        <w:numPr>
          <w:ilvl w:val="0"/>
          <w:numId w:val="30"/>
        </w:numPr>
        <w:spacing w:after="0" w:line="360" w:lineRule="auto"/>
        <w:ind w:left="426" w:hanging="426"/>
        <w:jc w:val="both"/>
        <w:rPr>
          <w:rFonts w:ascii="Palatino Linotype" w:eastAsia="MS Mincho" w:hAnsi="Palatino Linotype" w:cs="Arial"/>
          <w:sz w:val="24"/>
        </w:rPr>
      </w:pPr>
      <w:r w:rsidRPr="004B787A">
        <w:rPr>
          <w:rFonts w:ascii="Palatino Linotype" w:eastAsia="MS Mincho" w:hAnsi="Palatino Linotype" w:cs="Arial"/>
          <w:sz w:val="24"/>
        </w:rPr>
        <w:t xml:space="preserve">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w:t>
      </w:r>
      <w:r w:rsidRPr="004B787A">
        <w:rPr>
          <w:rFonts w:ascii="Palatino Linotype" w:eastAsia="MS Mincho" w:hAnsi="Palatino Linotype" w:cs="Arial"/>
          <w:b/>
          <w:sz w:val="24"/>
        </w:rPr>
        <w:t xml:space="preserve">turnar </w:t>
      </w:r>
      <w:r w:rsidRPr="004B787A">
        <w:rPr>
          <w:rFonts w:ascii="Palatino Linotype" w:eastAsia="MS Mincho" w:hAnsi="Palatino Linotype" w:cs="Arial"/>
          <w:b/>
          <w:i/>
          <w:sz w:val="24"/>
        </w:rPr>
        <w:t>a todas las áreas</w:t>
      </w:r>
      <w:r w:rsidRPr="004B787A">
        <w:rPr>
          <w:rFonts w:ascii="Palatino Linotype" w:eastAsia="MS Mincho" w:hAnsi="Palatino Linotype" w:cs="Arial"/>
          <w:i/>
          <w:sz w:val="24"/>
        </w:rPr>
        <w:t xml:space="preserve"> competentes que cuenten con la información o deban tenerla de acuerdo a sus facultades, competencias y funciones, </w:t>
      </w:r>
      <w:r w:rsidRPr="004B787A">
        <w:rPr>
          <w:rFonts w:ascii="Palatino Linotype" w:eastAsia="MS Mincho" w:hAnsi="Palatino Linotype" w:cs="Arial"/>
          <w:b/>
          <w:i/>
          <w:sz w:val="24"/>
          <w:u w:val="single"/>
        </w:rPr>
        <w:t>con el objeto de que realicen una búsqueda exhaustiva y razonable de la información solicitada</w:t>
      </w:r>
      <w:r w:rsidRPr="004B787A">
        <w:rPr>
          <w:rFonts w:ascii="Palatino Linotype" w:eastAsia="MS Mincho" w:hAnsi="Palatino Linotype" w:cs="Arial"/>
          <w:i/>
          <w:sz w:val="24"/>
        </w:rPr>
        <w:t>,</w:t>
      </w:r>
      <w:r w:rsidRPr="004B787A">
        <w:rPr>
          <w:rFonts w:ascii="Palatino Linotype" w:eastAsia="MS Mincho" w:hAnsi="Palatino Linotype" w:cs="Arial"/>
          <w:sz w:val="24"/>
        </w:rPr>
        <w:t xml:space="preserve"> según se asienta en el artículo 162 de la ley citada. </w:t>
      </w:r>
    </w:p>
    <w:p w:rsidR="004B787A" w:rsidRPr="004B787A" w:rsidRDefault="004B787A" w:rsidP="004B787A">
      <w:pPr>
        <w:pStyle w:val="Prrafodelista"/>
        <w:spacing w:after="0" w:line="360" w:lineRule="auto"/>
        <w:ind w:left="426"/>
        <w:jc w:val="both"/>
        <w:rPr>
          <w:rFonts w:ascii="Palatino Linotype" w:eastAsia="MS Mincho" w:hAnsi="Palatino Linotype" w:cs="Arial"/>
          <w:sz w:val="24"/>
        </w:rPr>
      </w:pPr>
    </w:p>
    <w:p w:rsidR="005279CD" w:rsidRPr="004B787A" w:rsidRDefault="005279CD" w:rsidP="005279CD">
      <w:pPr>
        <w:pStyle w:val="Prrafodelista"/>
        <w:numPr>
          <w:ilvl w:val="0"/>
          <w:numId w:val="30"/>
        </w:numPr>
        <w:spacing w:after="0" w:line="360" w:lineRule="auto"/>
        <w:ind w:left="426"/>
        <w:jc w:val="both"/>
        <w:rPr>
          <w:rFonts w:ascii="Palatino Linotype" w:eastAsia="MS Mincho" w:hAnsi="Palatino Linotype" w:cs="Arial"/>
          <w:sz w:val="24"/>
        </w:rPr>
      </w:pPr>
      <w:r w:rsidRPr="004B787A">
        <w:rPr>
          <w:rFonts w:ascii="Palatino Linotype" w:eastAsia="MS Mincho" w:hAnsi="Palatino Linotype" w:cs="Arial"/>
          <w:sz w:val="24"/>
        </w:rPr>
        <w:t xml:space="preserve">Por lo que el buscar exhaustivamente en sus archivos, identificar la unidad administrativa que resguarda el documento al que una persona pretende acceder, </w:t>
      </w:r>
      <w:r w:rsidRPr="0086384D">
        <w:rPr>
          <w:rFonts w:ascii="Palatino Linotype" w:eastAsia="MS Mincho" w:hAnsi="Palatino Linotype" w:cs="Arial"/>
          <w:b/>
          <w:sz w:val="24"/>
        </w:rPr>
        <w:t>NO</w:t>
      </w:r>
      <w:r w:rsidRPr="004B787A">
        <w:rPr>
          <w:rFonts w:ascii="Palatino Linotype" w:eastAsia="MS Mincho" w:hAnsi="Palatino Linotype" w:cs="Arial"/>
          <w:sz w:val="24"/>
        </w:rPr>
        <w:t xml:space="preserve"> es hacer una investigación con todo lo que ello implica y que ya se ha dicho, sino que en realidad es</w:t>
      </w:r>
      <w:r w:rsidR="0070781E" w:rsidRPr="004B787A">
        <w:rPr>
          <w:rFonts w:ascii="Palatino Linotype" w:eastAsia="MS Mincho" w:hAnsi="Palatino Linotype" w:cs="Arial"/>
          <w:sz w:val="24"/>
        </w:rPr>
        <w:t xml:space="preserve"> </w:t>
      </w:r>
      <w:r w:rsidRPr="004B787A">
        <w:rPr>
          <w:rFonts w:ascii="Palatino Linotype" w:eastAsia="MS Mincho" w:hAnsi="Palatino Linotype" w:cs="Arial"/>
          <w:sz w:val="24"/>
        </w:rPr>
        <w:t xml:space="preserve">practicar una adecuada gestión documental que nos permite localizar el documento, como bien señala el artículo 159 de la Ley de Transparencia y no, como equivocadamente pretende el Poder Judicial con una interpretación de las palabras </w:t>
      </w:r>
      <w:r w:rsidRPr="004B787A">
        <w:rPr>
          <w:rFonts w:ascii="Palatino Linotype" w:eastAsia="MS Mincho" w:hAnsi="Palatino Linotype" w:cs="Arial"/>
          <w:i/>
          <w:sz w:val="24"/>
        </w:rPr>
        <w:t>absurda y rebuscada</w:t>
      </w:r>
      <w:r w:rsidRPr="004B787A">
        <w:rPr>
          <w:rFonts w:ascii="Palatino Linotype" w:eastAsia="MS Mincho" w:hAnsi="Palatino Linotype" w:cs="Arial"/>
          <w:sz w:val="24"/>
        </w:rPr>
        <w:t>,</w:t>
      </w:r>
      <w:r w:rsidRPr="004B787A">
        <w:rPr>
          <w:rStyle w:val="Refdenotaalpie"/>
          <w:rFonts w:ascii="Palatino Linotype" w:eastAsia="MS Mincho" w:hAnsi="Palatino Linotype" w:cs="Arial"/>
          <w:sz w:val="24"/>
        </w:rPr>
        <w:footnoteReference w:id="5"/>
      </w:r>
      <w:r w:rsidRPr="004B787A">
        <w:rPr>
          <w:rFonts w:ascii="Palatino Linotype" w:eastAsia="MS Mincho" w:hAnsi="Palatino Linotype" w:cs="Arial"/>
          <w:sz w:val="24"/>
        </w:rPr>
        <w:t xml:space="preserve"> como realizar una </w:t>
      </w:r>
      <w:r w:rsidRPr="004B787A">
        <w:rPr>
          <w:rFonts w:ascii="Palatino Linotype" w:eastAsia="MS Mincho" w:hAnsi="Palatino Linotype" w:cs="Arial"/>
          <w:sz w:val="24"/>
        </w:rPr>
        <w:lastRenderedPageBreak/>
        <w:t xml:space="preserve">investigación, por lo que convendría que el </w:t>
      </w:r>
      <w:r w:rsidRPr="004B787A">
        <w:rPr>
          <w:rFonts w:ascii="Palatino Linotype" w:eastAsia="MS Mincho" w:hAnsi="Palatino Linotype" w:cs="Arial"/>
          <w:b/>
          <w:sz w:val="24"/>
        </w:rPr>
        <w:t>SUJETO OBLIGADO</w:t>
      </w:r>
      <w:r w:rsidRPr="004B787A">
        <w:rPr>
          <w:rFonts w:ascii="Palatino Linotype" w:eastAsia="MS Mincho" w:hAnsi="Palatino Linotype" w:cs="Arial"/>
          <w:sz w:val="24"/>
        </w:rPr>
        <w:t xml:space="preserve"> interpretara los conceptos legales prefiriendo su sentido común y usual en lugar de usos inaplicables, por artificiosos, para el supuesto de la realidad que la disposición jurídica regula. </w:t>
      </w:r>
    </w:p>
    <w:p w:rsidR="004B787A" w:rsidRPr="004B787A" w:rsidRDefault="004B787A" w:rsidP="004B787A">
      <w:pPr>
        <w:pStyle w:val="Prrafodelista"/>
        <w:rPr>
          <w:rFonts w:ascii="Palatino Linotype" w:eastAsia="MS Mincho" w:hAnsi="Palatino Linotype" w:cs="Arial"/>
          <w:sz w:val="24"/>
        </w:rPr>
      </w:pPr>
    </w:p>
    <w:p w:rsidR="005279CD" w:rsidRDefault="005279CD" w:rsidP="005279CD">
      <w:pPr>
        <w:pStyle w:val="Prrafodelista"/>
        <w:numPr>
          <w:ilvl w:val="0"/>
          <w:numId w:val="30"/>
        </w:numPr>
        <w:spacing w:after="0" w:line="360" w:lineRule="auto"/>
        <w:ind w:left="426"/>
        <w:jc w:val="both"/>
        <w:rPr>
          <w:rFonts w:ascii="Palatino Linotype" w:eastAsia="MS Mincho" w:hAnsi="Palatino Linotype" w:cs="Arial"/>
        </w:rPr>
      </w:pPr>
      <w:r w:rsidRPr="004B787A">
        <w:rPr>
          <w:rFonts w:ascii="Palatino Linotype" w:eastAsia="MS Mincho" w:hAnsi="Palatino Linotype" w:cs="Arial"/>
          <w:sz w:val="24"/>
        </w:rPr>
        <w:t xml:space="preserve">Ya que somos de la opinión que realizar una investigación es analizar y extraer información de diversos documentos o de la realidad misma para someterla a un proceso a través del cual se realizan </w:t>
      </w:r>
      <w:r w:rsidRPr="00AD2BC8">
        <w:rPr>
          <w:rFonts w:ascii="Palatino Linotype" w:eastAsia="MS Mincho" w:hAnsi="Palatino Linotype" w:cs="Arial"/>
          <w:i/>
        </w:rPr>
        <w:t>actividades intelectuales y experimentales de modo sistemático con el propósito de aumentar los conocimientos sobre una determinada materia,</w:t>
      </w:r>
      <w:r w:rsidRPr="006C4733">
        <w:rPr>
          <w:rStyle w:val="Refdenotaalpie"/>
          <w:rFonts w:ascii="Palatino Linotype" w:eastAsia="MS Mincho" w:hAnsi="Palatino Linotype" w:cs="Arial"/>
        </w:rPr>
        <w:footnoteReference w:id="6"/>
      </w:r>
      <w:r w:rsidRPr="00AD2BC8">
        <w:rPr>
          <w:rFonts w:ascii="Palatino Linotype" w:eastAsia="MS Mincho" w:hAnsi="Palatino Linotype" w:cs="Arial"/>
        </w:rPr>
        <w:t xml:space="preserve">. </w:t>
      </w:r>
      <w:r w:rsidRPr="008C7A52">
        <w:rPr>
          <w:rFonts w:ascii="Palatino Linotype" w:eastAsia="MS Mincho" w:hAnsi="Palatino Linotype" w:cs="Arial"/>
          <w:sz w:val="24"/>
        </w:rPr>
        <w:t xml:space="preserve">Lo que en este caso no es así ya que lo que pretende el hoy </w:t>
      </w:r>
      <w:r w:rsidRPr="008C7A52">
        <w:rPr>
          <w:rFonts w:ascii="Palatino Linotype" w:eastAsia="MS Mincho" w:hAnsi="Palatino Linotype" w:cs="Arial"/>
          <w:b/>
          <w:sz w:val="24"/>
        </w:rPr>
        <w:t>recurrente es acceder únicamente a</w:t>
      </w:r>
      <w:r w:rsidRPr="008C7A52">
        <w:rPr>
          <w:rFonts w:ascii="Palatino Linotype" w:eastAsia="MS Mincho" w:hAnsi="Palatino Linotype" w:cs="Arial"/>
          <w:sz w:val="24"/>
        </w:rPr>
        <w:t xml:space="preserve"> </w:t>
      </w:r>
      <w:r w:rsidRPr="008C7A52">
        <w:rPr>
          <w:rFonts w:ascii="Palatino Linotype" w:hAnsi="Palatino Linotype"/>
          <w:b/>
          <w:color w:val="000000"/>
          <w:sz w:val="24"/>
          <w:szCs w:val="14"/>
        </w:rPr>
        <w:t xml:space="preserve">la cantidad de demandas, para lo cual aporta elementos como “juzgados civiles de cuantía menor de los municipios de la Paz y </w:t>
      </w:r>
      <w:proofErr w:type="spellStart"/>
      <w:r w:rsidRPr="008C7A52">
        <w:rPr>
          <w:rFonts w:ascii="Palatino Linotype" w:hAnsi="Palatino Linotype"/>
          <w:b/>
          <w:color w:val="000000"/>
          <w:sz w:val="24"/>
          <w:szCs w:val="14"/>
        </w:rPr>
        <w:t>Nezahualcoyotl</w:t>
      </w:r>
      <w:proofErr w:type="spellEnd"/>
      <w:r w:rsidRPr="008C7A52">
        <w:rPr>
          <w:rFonts w:ascii="Palatino Linotype" w:hAnsi="Palatino Linotype"/>
          <w:b/>
          <w:color w:val="000000"/>
          <w:sz w:val="24"/>
          <w:szCs w:val="14"/>
        </w:rPr>
        <w:t>”</w:t>
      </w:r>
      <w:r w:rsidRPr="008C7A52">
        <w:rPr>
          <w:rFonts w:ascii="Palatino Linotype" w:eastAsia="MS Mincho" w:hAnsi="Palatino Linotype" w:cs="Arial"/>
          <w:b/>
          <w:sz w:val="24"/>
        </w:rPr>
        <w:t xml:space="preserve"> </w:t>
      </w:r>
      <w:r w:rsidRPr="008C7A52">
        <w:rPr>
          <w:rFonts w:ascii="Palatino Linotype" w:eastAsia="MS Mincho" w:hAnsi="Palatino Linotype" w:cs="Arial"/>
          <w:sz w:val="24"/>
        </w:rPr>
        <w:t xml:space="preserve">La información en cuestión, dada su especial y particular naturaleza, debieron de hacer constar decisiones adoptadas por el </w:t>
      </w:r>
      <w:r w:rsidRPr="008C7A52">
        <w:rPr>
          <w:rFonts w:ascii="Palatino Linotype" w:eastAsia="MS Mincho" w:hAnsi="Palatino Linotype" w:cs="Arial"/>
          <w:b/>
          <w:sz w:val="24"/>
        </w:rPr>
        <w:t>SUJETO OBLIGADO</w:t>
      </w:r>
      <w:r w:rsidRPr="008C7A52">
        <w:rPr>
          <w:rFonts w:ascii="Palatino Linotype" w:eastAsia="MS Mincho" w:hAnsi="Palatino Linotype" w:cs="Arial"/>
          <w:sz w:val="24"/>
        </w:rPr>
        <w:t xml:space="preserve"> en el ejercicio de sus facultades, funciones y atribuciones y no implican que en nada se aumenten los conocimientos de la materia en especial. </w:t>
      </w:r>
    </w:p>
    <w:p w:rsidR="004B787A" w:rsidRPr="004B787A" w:rsidRDefault="004B787A" w:rsidP="004B787A">
      <w:pPr>
        <w:pStyle w:val="Prrafodelista"/>
        <w:rPr>
          <w:rFonts w:ascii="Palatino Linotype" w:eastAsia="MS Mincho" w:hAnsi="Palatino Linotype" w:cs="Arial"/>
        </w:rPr>
      </w:pPr>
    </w:p>
    <w:p w:rsidR="005279CD" w:rsidRPr="008C7A52" w:rsidRDefault="005279CD" w:rsidP="005279CD">
      <w:pPr>
        <w:pStyle w:val="Prrafodelista"/>
        <w:numPr>
          <w:ilvl w:val="0"/>
          <w:numId w:val="30"/>
        </w:numPr>
        <w:spacing w:after="0" w:line="360" w:lineRule="auto"/>
        <w:ind w:left="426"/>
        <w:jc w:val="both"/>
        <w:rPr>
          <w:rFonts w:ascii="Palatino Linotype" w:eastAsia="MS Mincho" w:hAnsi="Palatino Linotype" w:cs="Arial"/>
          <w:sz w:val="24"/>
        </w:rPr>
      </w:pPr>
      <w:r w:rsidRPr="008C7A52">
        <w:rPr>
          <w:rFonts w:ascii="Palatino Linotype" w:eastAsia="MS Mincho" w:hAnsi="Palatino Linotype" w:cs="Arial"/>
          <w:sz w:val="24"/>
        </w:rPr>
        <w:t xml:space="preserve">Por lo que la respuesta del Sujeto Obligado en cuanto se refiere a que no puede responder a la solicitud de acceso a la información porque ello implica realizar </w:t>
      </w:r>
      <w:r w:rsidRPr="008C7A52">
        <w:rPr>
          <w:rFonts w:ascii="Palatino Linotype" w:eastAsia="MS Mincho" w:hAnsi="Palatino Linotype" w:cs="Arial"/>
          <w:sz w:val="24"/>
        </w:rPr>
        <w:lastRenderedPageBreak/>
        <w:t>una investigación, es una respuesta que afecta evidentemente el derecho de acceso a la informaci</w:t>
      </w:r>
      <w:r w:rsidR="0070781E" w:rsidRPr="008C7A52">
        <w:rPr>
          <w:rFonts w:ascii="Palatino Linotype" w:eastAsia="MS Mincho" w:hAnsi="Palatino Linotype" w:cs="Arial"/>
          <w:sz w:val="24"/>
        </w:rPr>
        <w:t>ón pública y debió de revocarse.</w:t>
      </w:r>
    </w:p>
    <w:p w:rsidR="005279CD" w:rsidRPr="008C7A52" w:rsidRDefault="005279CD" w:rsidP="005279CD">
      <w:pPr>
        <w:spacing w:line="360" w:lineRule="auto"/>
        <w:jc w:val="both"/>
        <w:rPr>
          <w:rFonts w:ascii="Palatino Linotype" w:eastAsia="MS Mincho" w:hAnsi="Palatino Linotype" w:cs="Arial"/>
          <w:sz w:val="24"/>
        </w:rPr>
      </w:pPr>
    </w:p>
    <w:p w:rsidR="005279CD" w:rsidRDefault="005279CD" w:rsidP="005279CD">
      <w:pPr>
        <w:pStyle w:val="Prrafodelista"/>
        <w:numPr>
          <w:ilvl w:val="0"/>
          <w:numId w:val="30"/>
        </w:numPr>
        <w:spacing w:after="0" w:line="360" w:lineRule="auto"/>
        <w:ind w:left="426"/>
        <w:jc w:val="both"/>
        <w:rPr>
          <w:rFonts w:ascii="Palatino Linotype" w:eastAsia="MS Mincho" w:hAnsi="Palatino Linotype" w:cs="Arial"/>
        </w:rPr>
      </w:pPr>
      <w:r w:rsidRPr="008C7A52">
        <w:rPr>
          <w:rFonts w:ascii="Palatino Linotype" w:eastAsia="MS Mincho" w:hAnsi="Palatino Linotype" w:cs="Arial"/>
          <w:sz w:val="24"/>
        </w:rPr>
        <w:t>En consecuencia, a criterio de este Órgano Garante</w:t>
      </w:r>
      <w:r w:rsidRPr="00244BFC">
        <w:rPr>
          <w:rFonts w:ascii="Palatino Linotype" w:eastAsia="MS Mincho" w:hAnsi="Palatino Linotype" w:cs="Arial"/>
          <w:b/>
        </w:rPr>
        <w:t xml:space="preserve">, </w:t>
      </w:r>
      <w:r w:rsidRPr="004B787A">
        <w:rPr>
          <w:rFonts w:ascii="Palatino Linotype" w:eastAsia="MS Mincho" w:hAnsi="Palatino Linotype" w:cs="Arial"/>
          <w:b/>
          <w:i/>
        </w:rPr>
        <w:t>NO ES UNA INVESTIGACIÓN, LA BUSQUEDA QUE PERMITA LOCALIZAR LOS DOCUMENTOS PARA ATENDER UNA SOLICITUD DE ACCESO A LA INFORMACIÓN.</w:t>
      </w:r>
      <w:r w:rsidRPr="004B787A">
        <w:rPr>
          <w:rFonts w:ascii="Palatino Linotype" w:eastAsia="MS Mincho" w:hAnsi="Palatino Linotype" w:cs="Arial"/>
          <w:i/>
        </w:rPr>
        <w:t xml:space="preserve"> El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 </w:t>
      </w:r>
    </w:p>
    <w:p w:rsidR="0070781E" w:rsidRDefault="0070781E" w:rsidP="0070781E">
      <w:pPr>
        <w:pStyle w:val="Prrafodelista"/>
        <w:spacing w:after="0" w:line="360" w:lineRule="auto"/>
        <w:ind w:left="426"/>
        <w:jc w:val="both"/>
        <w:rPr>
          <w:rFonts w:ascii="Palatino Linotype" w:eastAsia="MS Mincho" w:hAnsi="Palatino Linotype" w:cs="Arial"/>
        </w:rPr>
      </w:pPr>
    </w:p>
    <w:p w:rsidR="0086384D" w:rsidRDefault="0086384D" w:rsidP="0070781E">
      <w:pPr>
        <w:pStyle w:val="Prrafodelista"/>
        <w:spacing w:after="0" w:line="360" w:lineRule="auto"/>
        <w:ind w:left="426"/>
        <w:jc w:val="both"/>
        <w:rPr>
          <w:rFonts w:ascii="Palatino Linotype" w:eastAsia="MS Mincho" w:hAnsi="Palatino Linotype" w:cs="Arial"/>
        </w:rPr>
      </w:pPr>
    </w:p>
    <w:p w:rsidR="0070781E" w:rsidRPr="008C7A52" w:rsidRDefault="0070781E" w:rsidP="0070781E">
      <w:pPr>
        <w:pStyle w:val="Ttulo1"/>
        <w:numPr>
          <w:ilvl w:val="0"/>
          <w:numId w:val="18"/>
        </w:numPr>
        <w:rPr>
          <w:rFonts w:ascii="Palatino Linotype" w:eastAsia="MS Mincho" w:hAnsi="Palatino Linotype"/>
          <w:b/>
          <w:color w:val="auto"/>
          <w:sz w:val="24"/>
        </w:rPr>
      </w:pPr>
      <w:bookmarkStart w:id="3" w:name="_Toc527135321"/>
      <w:r w:rsidRPr="008C7A52">
        <w:rPr>
          <w:rFonts w:ascii="Palatino Linotype" w:eastAsia="MS Mincho" w:hAnsi="Palatino Linotype"/>
          <w:b/>
          <w:color w:val="auto"/>
          <w:sz w:val="24"/>
        </w:rPr>
        <w:lastRenderedPageBreak/>
        <w:t>De las Tecnologías de los Sujetos Obligados.</w:t>
      </w:r>
      <w:bookmarkEnd w:id="3"/>
    </w:p>
    <w:p w:rsidR="005279CD" w:rsidRPr="008C7A52" w:rsidRDefault="005279CD" w:rsidP="005279CD">
      <w:pPr>
        <w:pStyle w:val="Prrafodelista"/>
        <w:autoSpaceDE w:val="0"/>
        <w:autoSpaceDN w:val="0"/>
        <w:adjustRightInd w:val="0"/>
        <w:spacing w:after="240" w:line="360" w:lineRule="auto"/>
        <w:ind w:left="360"/>
        <w:jc w:val="both"/>
        <w:rPr>
          <w:rFonts w:ascii="Palatino Linotype" w:hAnsi="Palatino Linotype" w:cs="Arial"/>
          <w:sz w:val="24"/>
          <w:szCs w:val="24"/>
        </w:rPr>
      </w:pPr>
    </w:p>
    <w:p w:rsidR="007972D7" w:rsidRPr="008C7A52" w:rsidRDefault="007972D7" w:rsidP="0070781E">
      <w:pPr>
        <w:pStyle w:val="Prrafodelista"/>
        <w:numPr>
          <w:ilvl w:val="0"/>
          <w:numId w:val="30"/>
        </w:numPr>
        <w:autoSpaceDE w:val="0"/>
        <w:autoSpaceDN w:val="0"/>
        <w:adjustRightInd w:val="0"/>
        <w:spacing w:after="240" w:line="360" w:lineRule="auto"/>
        <w:ind w:left="426"/>
        <w:jc w:val="both"/>
        <w:rPr>
          <w:rFonts w:ascii="Palatino Linotype" w:hAnsi="Palatino Linotype" w:cs="Arial"/>
          <w:sz w:val="24"/>
          <w:szCs w:val="24"/>
        </w:rPr>
      </w:pPr>
      <w:r w:rsidRPr="008C7A52">
        <w:rPr>
          <w:rFonts w:ascii="Palatino Linotype" w:hAnsi="Palatino Linotype" w:cs="Arial"/>
          <w:sz w:val="24"/>
          <w:szCs w:val="24"/>
        </w:rPr>
        <w:t xml:space="preserve">He de señalar que comparto la forma en que la Ponencia encargada resolvió el recurso de revisión, pues en un principio, yo propuse revocar la respuesta del Sujeto Obligado y entregar la cantidad de demandas promovidas por la persona señalada en la solicitud en los juzgados civiles correspondientes, sin embargo, debo subrayar </w:t>
      </w:r>
      <w:r w:rsidR="00FE39F0" w:rsidRPr="008C7A52">
        <w:rPr>
          <w:rFonts w:ascii="Palatino Linotype" w:hAnsi="Palatino Linotype" w:cs="Arial"/>
          <w:sz w:val="24"/>
          <w:szCs w:val="24"/>
        </w:rPr>
        <w:t xml:space="preserve">que el hecho de que personal del Sujeto Obligado permita al recurrente el acceso a la información vía consulta directa </w:t>
      </w:r>
      <w:r w:rsidRPr="008C7A52">
        <w:rPr>
          <w:rFonts w:ascii="Palatino Linotype" w:hAnsi="Palatino Linotype" w:cs="Arial"/>
          <w:sz w:val="24"/>
          <w:szCs w:val="24"/>
        </w:rPr>
        <w:t xml:space="preserve"> </w:t>
      </w:r>
      <w:r w:rsidR="00FE39F0" w:rsidRPr="008C7A52">
        <w:rPr>
          <w:rFonts w:ascii="Palatino Linotype" w:hAnsi="Palatino Linotype" w:cs="Arial"/>
          <w:sz w:val="24"/>
          <w:szCs w:val="24"/>
        </w:rPr>
        <w:t>es una opción bastante contundente, derivado de ello es que acompaño la resolución en sus términos.</w:t>
      </w:r>
    </w:p>
    <w:p w:rsidR="00FE39F0" w:rsidRPr="008C7A52" w:rsidRDefault="00FE39F0" w:rsidP="00FE39F0">
      <w:pPr>
        <w:pStyle w:val="Prrafodelista"/>
        <w:autoSpaceDE w:val="0"/>
        <w:autoSpaceDN w:val="0"/>
        <w:adjustRightInd w:val="0"/>
        <w:spacing w:after="240" w:line="360" w:lineRule="auto"/>
        <w:ind w:left="426"/>
        <w:jc w:val="both"/>
        <w:rPr>
          <w:rFonts w:ascii="Palatino Linotype" w:hAnsi="Palatino Linotype" w:cs="Arial"/>
          <w:sz w:val="24"/>
          <w:szCs w:val="24"/>
        </w:rPr>
      </w:pPr>
    </w:p>
    <w:p w:rsidR="005279CD" w:rsidRPr="008C7A52" w:rsidRDefault="00FE39F0" w:rsidP="00FE39F0">
      <w:pPr>
        <w:pStyle w:val="Prrafodelista"/>
        <w:numPr>
          <w:ilvl w:val="0"/>
          <w:numId w:val="30"/>
        </w:numPr>
        <w:autoSpaceDE w:val="0"/>
        <w:autoSpaceDN w:val="0"/>
        <w:adjustRightInd w:val="0"/>
        <w:spacing w:after="240" w:line="360" w:lineRule="auto"/>
        <w:ind w:left="426"/>
        <w:jc w:val="both"/>
        <w:rPr>
          <w:rFonts w:ascii="Palatino Linotype" w:hAnsi="Palatino Linotype" w:cs="Arial"/>
          <w:sz w:val="24"/>
          <w:szCs w:val="24"/>
        </w:rPr>
      </w:pPr>
      <w:r w:rsidRPr="008C7A52">
        <w:rPr>
          <w:rFonts w:ascii="Palatino Linotype" w:hAnsi="Palatino Linotype" w:cs="Arial"/>
          <w:sz w:val="24"/>
          <w:szCs w:val="24"/>
        </w:rPr>
        <w:t xml:space="preserve">No obstante, no debemos pasar desapercibido que el Sujeto Obligado </w:t>
      </w:r>
      <w:r w:rsidR="002E5811">
        <w:rPr>
          <w:rFonts w:ascii="Palatino Linotype" w:hAnsi="Palatino Linotype" w:cs="Arial"/>
          <w:sz w:val="24"/>
          <w:szCs w:val="24"/>
        </w:rPr>
        <w:t xml:space="preserve">mencionó </w:t>
      </w:r>
      <w:r w:rsidR="0070781E" w:rsidRPr="008C7A52">
        <w:rPr>
          <w:rFonts w:ascii="Palatino Linotype" w:hAnsi="Palatino Linotype" w:cs="Arial"/>
          <w:sz w:val="24"/>
          <w:szCs w:val="24"/>
        </w:rPr>
        <w:t xml:space="preserve">que en los Juzgados Civiles existen libros de gobierno en los cuales se lleva un registro de los asuntos radicados en cada uno de ellos, y que </w:t>
      </w:r>
      <w:r w:rsidRPr="008C7A52">
        <w:rPr>
          <w:rFonts w:ascii="Palatino Linotype" w:hAnsi="Palatino Linotype" w:cs="Arial"/>
          <w:sz w:val="24"/>
          <w:szCs w:val="24"/>
        </w:rPr>
        <w:t>dicho</w:t>
      </w:r>
      <w:r w:rsidR="0070781E" w:rsidRPr="008C7A52">
        <w:rPr>
          <w:rFonts w:ascii="Palatino Linotype" w:hAnsi="Palatino Linotype" w:cs="Arial"/>
          <w:sz w:val="24"/>
          <w:szCs w:val="24"/>
        </w:rPr>
        <w:t xml:space="preserve"> registro</w:t>
      </w:r>
      <w:r w:rsidRPr="008C7A52">
        <w:rPr>
          <w:rFonts w:ascii="Palatino Linotype" w:hAnsi="Palatino Linotype" w:cs="Arial"/>
          <w:sz w:val="24"/>
          <w:szCs w:val="24"/>
        </w:rPr>
        <w:t>,</w:t>
      </w:r>
      <w:r w:rsidR="0070781E" w:rsidRPr="008C7A52">
        <w:rPr>
          <w:rFonts w:ascii="Palatino Linotype" w:hAnsi="Palatino Linotype" w:cs="Arial"/>
          <w:sz w:val="24"/>
          <w:szCs w:val="24"/>
        </w:rPr>
        <w:t xml:space="preserve"> denominado “libro índice”</w:t>
      </w:r>
      <w:r w:rsidRPr="008C7A52">
        <w:rPr>
          <w:rFonts w:ascii="Palatino Linotype" w:hAnsi="Palatino Linotype" w:cs="Arial"/>
          <w:sz w:val="24"/>
          <w:szCs w:val="24"/>
        </w:rPr>
        <w:t>,</w:t>
      </w:r>
      <w:r w:rsidR="0070781E" w:rsidRPr="008C7A52">
        <w:rPr>
          <w:rFonts w:ascii="Palatino Linotype" w:hAnsi="Palatino Linotype" w:cs="Arial"/>
          <w:sz w:val="24"/>
          <w:szCs w:val="24"/>
        </w:rPr>
        <w:t xml:space="preserve"> es de acceso a los particulares.</w:t>
      </w:r>
    </w:p>
    <w:p w:rsidR="007972D7" w:rsidRPr="008C7A52" w:rsidRDefault="007972D7" w:rsidP="007972D7">
      <w:pPr>
        <w:pStyle w:val="Prrafodelista"/>
        <w:autoSpaceDE w:val="0"/>
        <w:autoSpaceDN w:val="0"/>
        <w:adjustRightInd w:val="0"/>
        <w:spacing w:after="240" w:line="360" w:lineRule="auto"/>
        <w:ind w:left="426"/>
        <w:jc w:val="both"/>
        <w:rPr>
          <w:rFonts w:ascii="Palatino Linotype" w:hAnsi="Palatino Linotype" w:cs="Arial"/>
          <w:sz w:val="24"/>
          <w:szCs w:val="24"/>
        </w:rPr>
      </w:pPr>
    </w:p>
    <w:p w:rsidR="0070781E" w:rsidRPr="008C7A52" w:rsidRDefault="00FE39F0" w:rsidP="0070781E">
      <w:pPr>
        <w:pStyle w:val="Prrafodelista"/>
        <w:numPr>
          <w:ilvl w:val="0"/>
          <w:numId w:val="30"/>
        </w:numPr>
        <w:autoSpaceDE w:val="0"/>
        <w:autoSpaceDN w:val="0"/>
        <w:adjustRightInd w:val="0"/>
        <w:spacing w:after="240" w:line="360" w:lineRule="auto"/>
        <w:ind w:left="426"/>
        <w:jc w:val="both"/>
        <w:rPr>
          <w:rFonts w:ascii="Palatino Linotype" w:hAnsi="Palatino Linotype" w:cs="Arial"/>
          <w:sz w:val="24"/>
          <w:szCs w:val="24"/>
        </w:rPr>
      </w:pPr>
      <w:r w:rsidRPr="008C7A52">
        <w:rPr>
          <w:rFonts w:ascii="Palatino Linotype" w:hAnsi="Palatino Linotype" w:cs="Arial"/>
          <w:sz w:val="24"/>
          <w:szCs w:val="24"/>
        </w:rPr>
        <w:t>Se destaca que actualmente nos encontramos en la tercera transformación del Derecho de Acceso a la Información Pública, y es la ciudadanía quien funge como un sistema de control en cuanto a las acciones que realizan los Sujetos Obligados, pues a través del ejercicio del Derecho en cuestión, tienen la facultad de vigilar las conductas y detectar todas aquellas que se alejan de las facultades, competencias y atribuciones propias de cada entidad gubernamental.</w:t>
      </w:r>
    </w:p>
    <w:p w:rsidR="00022569" w:rsidRPr="008C7A52" w:rsidRDefault="00022569" w:rsidP="00022569">
      <w:pPr>
        <w:pStyle w:val="Prrafodelista"/>
        <w:rPr>
          <w:rFonts w:ascii="Palatino Linotype" w:hAnsi="Palatino Linotype" w:cs="Arial"/>
          <w:sz w:val="24"/>
          <w:szCs w:val="24"/>
        </w:rPr>
      </w:pPr>
    </w:p>
    <w:p w:rsidR="00022569" w:rsidRPr="008C7A52" w:rsidRDefault="00022569" w:rsidP="0070781E">
      <w:pPr>
        <w:pStyle w:val="Prrafodelista"/>
        <w:numPr>
          <w:ilvl w:val="0"/>
          <w:numId w:val="30"/>
        </w:numPr>
        <w:autoSpaceDE w:val="0"/>
        <w:autoSpaceDN w:val="0"/>
        <w:adjustRightInd w:val="0"/>
        <w:spacing w:after="240" w:line="360" w:lineRule="auto"/>
        <w:ind w:left="426"/>
        <w:jc w:val="both"/>
        <w:rPr>
          <w:rFonts w:ascii="Palatino Linotype" w:hAnsi="Palatino Linotype" w:cs="Arial"/>
          <w:sz w:val="24"/>
          <w:szCs w:val="24"/>
        </w:rPr>
      </w:pPr>
      <w:r w:rsidRPr="008C7A52">
        <w:rPr>
          <w:rFonts w:ascii="Palatino Linotype" w:hAnsi="Palatino Linotype" w:cs="Arial"/>
          <w:sz w:val="24"/>
          <w:szCs w:val="24"/>
        </w:rPr>
        <w:lastRenderedPageBreak/>
        <w:t>Los Sujetos Obligados deben cumplir con las obligaciones contenidas en el artículo 24 de la Ley de Transparencia y Acceso a la Información Pública del Estado de México y Municipios, entre las que se encuentran, las siguientes:</w:t>
      </w:r>
    </w:p>
    <w:p w:rsidR="00022569" w:rsidRPr="00022569" w:rsidRDefault="00022569" w:rsidP="00022569">
      <w:pPr>
        <w:pStyle w:val="Prrafodelista"/>
        <w:rPr>
          <w:rFonts w:ascii="Palatino Linotype" w:hAnsi="Palatino Linotype" w:cs="Arial"/>
          <w:sz w:val="24"/>
          <w:szCs w:val="24"/>
        </w:rPr>
      </w:pPr>
    </w:p>
    <w:p w:rsidR="00022569" w:rsidRPr="00022569" w:rsidRDefault="00022569" w:rsidP="00022569">
      <w:pPr>
        <w:pStyle w:val="Prrafodelista"/>
        <w:autoSpaceDE w:val="0"/>
        <w:autoSpaceDN w:val="0"/>
        <w:adjustRightInd w:val="0"/>
        <w:spacing w:after="240" w:line="360" w:lineRule="auto"/>
        <w:ind w:left="567" w:right="567"/>
        <w:jc w:val="both"/>
        <w:rPr>
          <w:rFonts w:ascii="Palatino Linotype" w:hAnsi="Palatino Linotype" w:cs="Bookman Old Style,Bold"/>
          <w:b/>
          <w:bCs/>
          <w:i/>
        </w:rPr>
      </w:pPr>
      <w:r w:rsidRPr="00022569">
        <w:rPr>
          <w:rFonts w:ascii="Palatino Linotype" w:hAnsi="Palatino Linotype" w:cs="Bookman Old Style,Bold"/>
          <w:b/>
          <w:bCs/>
          <w:i/>
        </w:rPr>
        <w:t>Artículo 24. …</w:t>
      </w:r>
    </w:p>
    <w:p w:rsidR="00022569" w:rsidRPr="00022569" w:rsidRDefault="00022569" w:rsidP="00022569">
      <w:pPr>
        <w:pStyle w:val="Prrafodelista"/>
        <w:autoSpaceDE w:val="0"/>
        <w:autoSpaceDN w:val="0"/>
        <w:adjustRightInd w:val="0"/>
        <w:spacing w:after="240" w:line="360" w:lineRule="auto"/>
        <w:ind w:left="567" w:right="567"/>
        <w:jc w:val="both"/>
        <w:rPr>
          <w:rFonts w:ascii="Palatino Linotype" w:hAnsi="Palatino Linotype" w:cs="Bookman Old Style,Bold"/>
          <w:b/>
          <w:bCs/>
          <w:i/>
        </w:rPr>
      </w:pPr>
      <w:r w:rsidRPr="00022569">
        <w:rPr>
          <w:rFonts w:ascii="Palatino Linotype" w:hAnsi="Palatino Linotype" w:cs="Bookman Old Style,Bold"/>
          <w:b/>
          <w:bCs/>
          <w:i/>
        </w:rPr>
        <w:t>…</w:t>
      </w:r>
    </w:p>
    <w:p w:rsidR="00022569" w:rsidRPr="00022569" w:rsidRDefault="00022569" w:rsidP="00022569">
      <w:pPr>
        <w:autoSpaceDE w:val="0"/>
        <w:autoSpaceDN w:val="0"/>
        <w:adjustRightInd w:val="0"/>
        <w:spacing w:after="0" w:line="240" w:lineRule="auto"/>
        <w:ind w:left="567" w:right="567"/>
        <w:jc w:val="both"/>
        <w:rPr>
          <w:rFonts w:ascii="Palatino Linotype" w:hAnsi="Palatino Linotype" w:cs="Bookman Old Style"/>
          <w:i/>
        </w:rPr>
      </w:pPr>
      <w:r w:rsidRPr="00022569">
        <w:rPr>
          <w:rFonts w:ascii="Palatino Linotype" w:hAnsi="Palatino Linotype" w:cs="Bookman Old Style,Bold"/>
          <w:b/>
          <w:bCs/>
          <w:i/>
        </w:rPr>
        <w:t xml:space="preserve">IV. </w:t>
      </w:r>
      <w:r w:rsidRPr="00022569">
        <w:rPr>
          <w:rFonts w:ascii="Palatino Linotype" w:hAnsi="Palatino Linotype" w:cs="Bookman Old Style"/>
          <w:i/>
        </w:rPr>
        <w:t>Constituir y mantener actualizados sus sistemas de archivos y gestión documental, conforme a la normatividad aplicable;</w:t>
      </w:r>
    </w:p>
    <w:p w:rsidR="00022569" w:rsidRPr="00022569" w:rsidRDefault="00022569" w:rsidP="00022569">
      <w:pPr>
        <w:autoSpaceDE w:val="0"/>
        <w:autoSpaceDN w:val="0"/>
        <w:adjustRightInd w:val="0"/>
        <w:spacing w:after="0" w:line="240" w:lineRule="auto"/>
        <w:ind w:left="567" w:right="567"/>
        <w:jc w:val="both"/>
        <w:rPr>
          <w:rFonts w:ascii="Palatino Linotype" w:hAnsi="Palatino Linotype" w:cs="Bookman Old Style"/>
          <w:i/>
        </w:rPr>
      </w:pPr>
    </w:p>
    <w:p w:rsidR="00022569" w:rsidRPr="00022569" w:rsidRDefault="00022569" w:rsidP="00022569">
      <w:pPr>
        <w:autoSpaceDE w:val="0"/>
        <w:autoSpaceDN w:val="0"/>
        <w:adjustRightInd w:val="0"/>
        <w:spacing w:after="0" w:line="240" w:lineRule="auto"/>
        <w:ind w:left="567" w:right="567"/>
        <w:jc w:val="both"/>
        <w:rPr>
          <w:rFonts w:ascii="Palatino Linotype" w:hAnsi="Palatino Linotype" w:cs="Bookman Old Style"/>
          <w:i/>
        </w:rPr>
      </w:pPr>
      <w:r w:rsidRPr="00022569">
        <w:rPr>
          <w:rFonts w:ascii="Palatino Linotype" w:hAnsi="Palatino Linotype" w:cs="Bookman Old Style,Bold"/>
          <w:b/>
          <w:bCs/>
          <w:i/>
        </w:rPr>
        <w:t xml:space="preserve">V. </w:t>
      </w:r>
      <w:r w:rsidRPr="00022569">
        <w:rPr>
          <w:rFonts w:ascii="Palatino Linotype" w:hAnsi="Palatino Linotype" w:cs="Bookman Old Style"/>
          <w:i/>
        </w:rPr>
        <w:t>Promover la generación, documentación y publicación de la información en formatos abiertos y accesibles;</w:t>
      </w:r>
    </w:p>
    <w:p w:rsidR="00022569" w:rsidRPr="00022569" w:rsidRDefault="00022569" w:rsidP="00022569">
      <w:pPr>
        <w:autoSpaceDE w:val="0"/>
        <w:autoSpaceDN w:val="0"/>
        <w:adjustRightInd w:val="0"/>
        <w:spacing w:after="0" w:line="240" w:lineRule="auto"/>
        <w:ind w:left="567" w:right="567"/>
        <w:jc w:val="both"/>
        <w:rPr>
          <w:rFonts w:ascii="Palatino Linotype" w:hAnsi="Palatino Linotype" w:cs="Arial"/>
          <w:i/>
        </w:rPr>
      </w:pPr>
      <w:r w:rsidRPr="00022569">
        <w:rPr>
          <w:rFonts w:ascii="Palatino Linotype" w:hAnsi="Palatino Linotype" w:cs="Arial"/>
          <w:i/>
        </w:rPr>
        <w:t>…</w:t>
      </w:r>
    </w:p>
    <w:p w:rsidR="00022569" w:rsidRPr="00022569" w:rsidRDefault="00022569" w:rsidP="00022569">
      <w:pPr>
        <w:autoSpaceDE w:val="0"/>
        <w:autoSpaceDN w:val="0"/>
        <w:adjustRightInd w:val="0"/>
        <w:spacing w:after="0" w:line="240" w:lineRule="auto"/>
        <w:ind w:left="567" w:right="567"/>
        <w:jc w:val="both"/>
        <w:rPr>
          <w:rFonts w:ascii="Palatino Linotype" w:hAnsi="Palatino Linotype" w:cs="Bookman Old Style"/>
          <w:i/>
        </w:rPr>
      </w:pPr>
      <w:r w:rsidRPr="00022569">
        <w:rPr>
          <w:rFonts w:ascii="Palatino Linotype" w:hAnsi="Palatino Linotype" w:cs="Bookman Old Style,Bold"/>
          <w:b/>
          <w:bCs/>
          <w:i/>
        </w:rPr>
        <w:t xml:space="preserve">IX. </w:t>
      </w:r>
      <w:r w:rsidRPr="00022569">
        <w:rPr>
          <w:rFonts w:ascii="Palatino Linotype" w:hAnsi="Palatino Linotype" w:cs="Bookman Old Style"/>
          <w:i/>
        </w:rPr>
        <w:t>Fomentar el uso de tecnologías de la información para garantizar la transparencia, el derecho de acceso a la información y la accesibilidad a éstos;</w:t>
      </w:r>
    </w:p>
    <w:p w:rsidR="00022569" w:rsidRPr="00022569" w:rsidRDefault="00022569" w:rsidP="00022569">
      <w:pPr>
        <w:autoSpaceDE w:val="0"/>
        <w:autoSpaceDN w:val="0"/>
        <w:adjustRightInd w:val="0"/>
        <w:spacing w:after="0" w:line="240" w:lineRule="auto"/>
        <w:ind w:left="567" w:right="567"/>
        <w:jc w:val="both"/>
        <w:rPr>
          <w:rFonts w:ascii="Palatino Linotype" w:hAnsi="Palatino Linotype" w:cs="Bookman Old Style"/>
          <w:i/>
        </w:rPr>
      </w:pPr>
      <w:r w:rsidRPr="00022569">
        <w:rPr>
          <w:rFonts w:ascii="Palatino Linotype" w:hAnsi="Palatino Linotype" w:cs="Bookman Old Style"/>
          <w:i/>
        </w:rPr>
        <w:t>…</w:t>
      </w:r>
    </w:p>
    <w:p w:rsidR="00022569" w:rsidRPr="00022569" w:rsidRDefault="00022569" w:rsidP="00022569">
      <w:pPr>
        <w:autoSpaceDE w:val="0"/>
        <w:autoSpaceDN w:val="0"/>
        <w:adjustRightInd w:val="0"/>
        <w:spacing w:after="0" w:line="240" w:lineRule="auto"/>
        <w:ind w:left="567" w:right="567"/>
        <w:jc w:val="both"/>
        <w:rPr>
          <w:rFonts w:ascii="Palatino Linotype" w:hAnsi="Palatino Linotype" w:cs="Bookman Old Style"/>
          <w:i/>
        </w:rPr>
      </w:pPr>
      <w:r w:rsidRPr="00022569">
        <w:rPr>
          <w:rFonts w:ascii="Palatino Linotype" w:hAnsi="Palatino Linotype" w:cs="Bookman Old Style,Bold"/>
          <w:b/>
          <w:bCs/>
          <w:i/>
        </w:rPr>
        <w:t xml:space="preserve">XVII. </w:t>
      </w:r>
      <w:r w:rsidRPr="00022569">
        <w:rPr>
          <w:rFonts w:ascii="Palatino Linotype" w:hAnsi="Palatino Linotype" w:cs="Bookman Old Style"/>
          <w:i/>
        </w:rPr>
        <w:t>Crear y hacer uso de sistemas de tecnología sistematizados y avanzados, y adoptar las nuevas herramientas para que los ciudadanos consulten información de manera directa, sencilla y rápida;</w:t>
      </w:r>
    </w:p>
    <w:p w:rsidR="00022569" w:rsidRPr="00022569" w:rsidRDefault="00022569" w:rsidP="00022569">
      <w:pPr>
        <w:autoSpaceDE w:val="0"/>
        <w:autoSpaceDN w:val="0"/>
        <w:adjustRightInd w:val="0"/>
        <w:spacing w:after="0" w:line="240" w:lineRule="auto"/>
        <w:ind w:left="567" w:right="567"/>
        <w:jc w:val="both"/>
        <w:rPr>
          <w:rFonts w:ascii="Palatino Linotype" w:hAnsi="Palatino Linotype" w:cs="Bookman Old Style"/>
          <w:i/>
        </w:rPr>
      </w:pPr>
      <w:r w:rsidRPr="00022569">
        <w:rPr>
          <w:rFonts w:ascii="Palatino Linotype" w:hAnsi="Palatino Linotype" w:cs="Bookman Old Style"/>
          <w:i/>
        </w:rPr>
        <w:t>…</w:t>
      </w:r>
    </w:p>
    <w:p w:rsidR="00022569" w:rsidRDefault="00022569" w:rsidP="00022569">
      <w:pPr>
        <w:autoSpaceDE w:val="0"/>
        <w:autoSpaceDN w:val="0"/>
        <w:adjustRightInd w:val="0"/>
        <w:spacing w:after="0" w:line="240" w:lineRule="auto"/>
        <w:ind w:left="567" w:right="567"/>
        <w:jc w:val="both"/>
        <w:rPr>
          <w:rFonts w:ascii="Palatino Linotype" w:hAnsi="Palatino Linotype" w:cs="Bookman Old Style"/>
          <w:i/>
        </w:rPr>
      </w:pPr>
      <w:r w:rsidRPr="00022569">
        <w:rPr>
          <w:rFonts w:ascii="Palatino Linotype" w:hAnsi="Palatino Linotype" w:cs="Bookman Old Style,Bold"/>
          <w:b/>
          <w:bCs/>
          <w:i/>
        </w:rPr>
        <w:t xml:space="preserve">XXIII. </w:t>
      </w:r>
      <w:r w:rsidRPr="00022569">
        <w:rPr>
          <w:rFonts w:ascii="Palatino Linotype" w:hAnsi="Palatino Linotype" w:cs="Bookman Old Style"/>
          <w:i/>
        </w:rPr>
        <w:t>Procurar la digitalización de toda la información pública en su poder;</w:t>
      </w:r>
    </w:p>
    <w:p w:rsidR="00022569" w:rsidRDefault="00022569" w:rsidP="00022569">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Bookman Old Style,Bold"/>
          <w:b/>
          <w:bCs/>
          <w:i/>
        </w:rPr>
        <w:t>…</w:t>
      </w:r>
    </w:p>
    <w:p w:rsidR="00022569" w:rsidRPr="00022569" w:rsidRDefault="00022569" w:rsidP="00022569">
      <w:pPr>
        <w:autoSpaceDE w:val="0"/>
        <w:autoSpaceDN w:val="0"/>
        <w:adjustRightInd w:val="0"/>
        <w:spacing w:after="0" w:line="240" w:lineRule="auto"/>
        <w:ind w:left="567" w:right="567"/>
        <w:jc w:val="both"/>
        <w:rPr>
          <w:rFonts w:ascii="Palatino Linotype" w:hAnsi="Palatino Linotype" w:cs="Arial"/>
          <w:i/>
        </w:rPr>
      </w:pPr>
    </w:p>
    <w:p w:rsidR="00022569" w:rsidRPr="00022569" w:rsidRDefault="00022569" w:rsidP="00022569">
      <w:pPr>
        <w:pStyle w:val="Prrafodelista"/>
        <w:rPr>
          <w:rFonts w:ascii="Palatino Linotype" w:hAnsi="Palatino Linotype" w:cs="Arial"/>
          <w:sz w:val="24"/>
          <w:szCs w:val="24"/>
        </w:rPr>
      </w:pPr>
    </w:p>
    <w:p w:rsidR="00022569" w:rsidRDefault="00022569" w:rsidP="0070781E">
      <w:pPr>
        <w:pStyle w:val="Prrafodelista"/>
        <w:numPr>
          <w:ilvl w:val="0"/>
          <w:numId w:val="30"/>
        </w:numPr>
        <w:autoSpaceDE w:val="0"/>
        <w:autoSpaceDN w:val="0"/>
        <w:adjustRightInd w:val="0"/>
        <w:spacing w:after="240" w:line="360" w:lineRule="auto"/>
        <w:ind w:left="426"/>
        <w:jc w:val="both"/>
        <w:rPr>
          <w:rFonts w:ascii="Palatino Linotype" w:hAnsi="Palatino Linotype" w:cs="Arial"/>
          <w:sz w:val="24"/>
          <w:szCs w:val="24"/>
        </w:rPr>
      </w:pPr>
      <w:r>
        <w:rPr>
          <w:rFonts w:ascii="Palatino Linotype" w:hAnsi="Palatino Linotype" w:cs="Arial"/>
          <w:sz w:val="24"/>
          <w:szCs w:val="24"/>
        </w:rPr>
        <w:t xml:space="preserve">Tal y como se aprecia, para dar cumplimiento al derecho de acceso a la información es indispensable el uso de las tecnologías por los Sujetos Obligados para </w:t>
      </w:r>
      <w:r w:rsidR="002E5811">
        <w:rPr>
          <w:rFonts w:ascii="Palatino Linotype" w:hAnsi="Palatino Linotype" w:cs="Arial"/>
          <w:sz w:val="24"/>
          <w:szCs w:val="24"/>
        </w:rPr>
        <w:t xml:space="preserve">estar en posibilidad de </w:t>
      </w:r>
      <w:r>
        <w:rPr>
          <w:rFonts w:ascii="Palatino Linotype" w:hAnsi="Palatino Linotype" w:cs="Arial"/>
          <w:sz w:val="24"/>
          <w:szCs w:val="24"/>
        </w:rPr>
        <w:t xml:space="preserve">atender correctamente los requerimientos planteados por los particulares. </w:t>
      </w:r>
    </w:p>
    <w:p w:rsidR="00022569" w:rsidRDefault="00022569" w:rsidP="00022569">
      <w:pPr>
        <w:pStyle w:val="Prrafodelista"/>
        <w:autoSpaceDE w:val="0"/>
        <w:autoSpaceDN w:val="0"/>
        <w:adjustRightInd w:val="0"/>
        <w:spacing w:after="240" w:line="360" w:lineRule="auto"/>
        <w:ind w:left="426"/>
        <w:jc w:val="both"/>
        <w:rPr>
          <w:rFonts w:ascii="Palatino Linotype" w:hAnsi="Palatino Linotype" w:cs="Arial"/>
          <w:sz w:val="24"/>
          <w:szCs w:val="24"/>
        </w:rPr>
      </w:pPr>
    </w:p>
    <w:p w:rsidR="00022569" w:rsidRDefault="00022569" w:rsidP="0070781E">
      <w:pPr>
        <w:pStyle w:val="Prrafodelista"/>
        <w:numPr>
          <w:ilvl w:val="0"/>
          <w:numId w:val="30"/>
        </w:numPr>
        <w:autoSpaceDE w:val="0"/>
        <w:autoSpaceDN w:val="0"/>
        <w:adjustRightInd w:val="0"/>
        <w:spacing w:after="240" w:line="360" w:lineRule="auto"/>
        <w:ind w:left="426"/>
        <w:jc w:val="both"/>
        <w:rPr>
          <w:rFonts w:ascii="Palatino Linotype" w:hAnsi="Palatino Linotype" w:cs="Arial"/>
          <w:sz w:val="24"/>
          <w:szCs w:val="24"/>
        </w:rPr>
      </w:pPr>
      <w:r>
        <w:rPr>
          <w:rFonts w:ascii="Palatino Linotype" w:hAnsi="Palatino Linotype" w:cs="Arial"/>
          <w:sz w:val="24"/>
          <w:szCs w:val="24"/>
        </w:rPr>
        <w:lastRenderedPageBreak/>
        <w:t xml:space="preserve">Si bien es cierto, la utilización de “libros índices” es una práctica común y tradicional del Poder Judicial y que éstos son de acceso público, pero también lo es que resultaría idóneo la utilización de registros digitales, toda vez que a través de la implementación de </w:t>
      </w:r>
      <w:r w:rsidR="002E5811">
        <w:rPr>
          <w:rFonts w:ascii="Palatino Linotype" w:hAnsi="Palatino Linotype" w:cs="Arial"/>
          <w:sz w:val="24"/>
          <w:szCs w:val="24"/>
        </w:rPr>
        <w:t>estas</w:t>
      </w:r>
      <w:r>
        <w:rPr>
          <w:rFonts w:ascii="Palatino Linotype" w:hAnsi="Palatino Linotype" w:cs="Arial"/>
          <w:sz w:val="24"/>
          <w:szCs w:val="24"/>
        </w:rPr>
        <w:t xml:space="preserve"> tecnologías es más fácil </w:t>
      </w:r>
      <w:r w:rsidR="002E5811">
        <w:rPr>
          <w:rFonts w:ascii="Palatino Linotype" w:hAnsi="Palatino Linotype" w:cs="Arial"/>
          <w:sz w:val="24"/>
          <w:szCs w:val="24"/>
        </w:rPr>
        <w:t>hallar todo tipo de información.</w:t>
      </w:r>
      <w:r>
        <w:rPr>
          <w:rFonts w:ascii="Palatino Linotype" w:hAnsi="Palatino Linotype" w:cs="Arial"/>
          <w:sz w:val="24"/>
          <w:szCs w:val="24"/>
        </w:rPr>
        <w:t xml:space="preserve"> </w:t>
      </w:r>
      <w:r w:rsidR="002E5811">
        <w:rPr>
          <w:rFonts w:ascii="Palatino Linotype" w:hAnsi="Palatino Linotype" w:cs="Arial"/>
          <w:sz w:val="24"/>
          <w:szCs w:val="24"/>
        </w:rPr>
        <w:t>E</w:t>
      </w:r>
      <w:r>
        <w:rPr>
          <w:rFonts w:ascii="Palatino Linotype" w:hAnsi="Palatino Linotype" w:cs="Arial"/>
          <w:sz w:val="24"/>
          <w:szCs w:val="24"/>
        </w:rPr>
        <w:t>s factible tanto para los usuarios del Poder Judicial como para el derecho de acceso a la información.</w:t>
      </w:r>
    </w:p>
    <w:p w:rsidR="00022569" w:rsidRPr="00022569" w:rsidRDefault="00022569" w:rsidP="00022569">
      <w:pPr>
        <w:pStyle w:val="Prrafodelista"/>
        <w:rPr>
          <w:rFonts w:ascii="Palatino Linotype" w:hAnsi="Palatino Linotype" w:cs="Arial"/>
          <w:sz w:val="24"/>
          <w:szCs w:val="24"/>
        </w:rPr>
      </w:pPr>
    </w:p>
    <w:p w:rsidR="00022569" w:rsidRPr="00340909" w:rsidRDefault="00022569" w:rsidP="0070781E">
      <w:pPr>
        <w:pStyle w:val="Prrafodelista"/>
        <w:numPr>
          <w:ilvl w:val="0"/>
          <w:numId w:val="30"/>
        </w:numPr>
        <w:autoSpaceDE w:val="0"/>
        <w:autoSpaceDN w:val="0"/>
        <w:adjustRightInd w:val="0"/>
        <w:spacing w:after="240" w:line="360" w:lineRule="auto"/>
        <w:ind w:left="426"/>
        <w:jc w:val="both"/>
        <w:rPr>
          <w:rFonts w:ascii="Palatino Linotype" w:hAnsi="Palatino Linotype" w:cs="Arial"/>
          <w:sz w:val="24"/>
          <w:szCs w:val="24"/>
        </w:rPr>
      </w:pPr>
      <w:r>
        <w:rPr>
          <w:rFonts w:ascii="Palatino Linotype" w:hAnsi="Palatino Linotype" w:cs="Arial"/>
          <w:sz w:val="24"/>
          <w:szCs w:val="24"/>
        </w:rPr>
        <w:t xml:space="preserve">Asimismo, cabe señalar </w:t>
      </w:r>
      <w:r w:rsidR="00340909">
        <w:rPr>
          <w:rFonts w:ascii="Palatino Linotype" w:hAnsi="Palatino Linotype" w:cs="Arial"/>
          <w:sz w:val="24"/>
          <w:szCs w:val="24"/>
        </w:rPr>
        <w:t>que el Poder Judicial para el año 2018, de acuerdo al Decreto Número 268, de fecha viernes 15 de diciembre de 2017, publicado en el Periódico Oficial Gaceta de Gobierno</w:t>
      </w:r>
      <w:r w:rsidR="00340909">
        <w:rPr>
          <w:rStyle w:val="Refdenotaalpie"/>
          <w:rFonts w:ascii="Palatino Linotype" w:hAnsi="Palatino Linotype" w:cs="Arial"/>
          <w:sz w:val="24"/>
          <w:szCs w:val="24"/>
        </w:rPr>
        <w:footnoteReference w:id="7"/>
      </w:r>
      <w:r w:rsidR="00340909">
        <w:rPr>
          <w:rFonts w:ascii="Palatino Linotype" w:hAnsi="Palatino Linotype" w:cs="Arial"/>
          <w:sz w:val="24"/>
          <w:szCs w:val="24"/>
        </w:rPr>
        <w:t xml:space="preserve"> en el artículo 13 refiere </w:t>
      </w:r>
      <w:r w:rsidR="00340909" w:rsidRPr="00340909">
        <w:rPr>
          <w:rFonts w:ascii="Palatino Linotype" w:hAnsi="Palatino Linotype" w:cs="Arial"/>
          <w:i/>
        </w:rPr>
        <w:t>“</w:t>
      </w:r>
      <w:r w:rsidR="00340909" w:rsidRPr="00340909">
        <w:rPr>
          <w:rFonts w:ascii="Palatino Linotype" w:hAnsi="Palatino Linotype"/>
          <w:i/>
        </w:rPr>
        <w:t>El presupuesto de egresos del Poder Judicial para el ejercicio fiscal de 2018, importa un monto de $3</w:t>
      </w:r>
      <w:r w:rsidR="002E5811" w:rsidRPr="00340909">
        <w:rPr>
          <w:rFonts w:ascii="Palatino Linotype" w:hAnsi="Palatino Linotype"/>
          <w:i/>
        </w:rPr>
        <w:t>, 553, 201,</w:t>
      </w:r>
      <w:r w:rsidR="002E5811">
        <w:rPr>
          <w:rFonts w:ascii="Palatino Linotype" w:hAnsi="Palatino Linotype"/>
          <w:i/>
        </w:rPr>
        <w:t xml:space="preserve"> </w:t>
      </w:r>
      <w:r w:rsidR="002E5811" w:rsidRPr="00340909">
        <w:rPr>
          <w:rFonts w:ascii="Palatino Linotype" w:hAnsi="Palatino Linotype"/>
          <w:i/>
        </w:rPr>
        <w:t>766</w:t>
      </w:r>
      <w:r w:rsidR="00340909" w:rsidRPr="00340909">
        <w:rPr>
          <w:rFonts w:ascii="Palatino Linotype" w:hAnsi="Palatino Linotype"/>
          <w:i/>
        </w:rPr>
        <w:t xml:space="preserve">, que </w:t>
      </w:r>
      <w:r w:rsidR="00340909" w:rsidRPr="00340909">
        <w:rPr>
          <w:rFonts w:ascii="Palatino Linotype" w:hAnsi="Palatino Linotype"/>
          <w:b/>
          <w:i/>
        </w:rPr>
        <w:t>incluye las previsiones por incremento salarial</w:t>
      </w:r>
      <w:r w:rsidR="00340909" w:rsidRPr="00340909">
        <w:rPr>
          <w:rFonts w:ascii="Palatino Linotype" w:hAnsi="Palatino Linotype"/>
          <w:i/>
        </w:rPr>
        <w:t>, sus gastos de operación y su distribución, serán definidos por el propio Poder.”</w:t>
      </w:r>
    </w:p>
    <w:p w:rsidR="00340909" w:rsidRPr="00340909" w:rsidRDefault="00340909" w:rsidP="00340909">
      <w:pPr>
        <w:pStyle w:val="Prrafodelista"/>
        <w:rPr>
          <w:rFonts w:ascii="Palatino Linotype" w:hAnsi="Palatino Linotype" w:cs="Arial"/>
          <w:sz w:val="24"/>
          <w:szCs w:val="24"/>
        </w:rPr>
      </w:pPr>
    </w:p>
    <w:p w:rsidR="00340909" w:rsidRDefault="00340909" w:rsidP="0070781E">
      <w:pPr>
        <w:pStyle w:val="Prrafodelista"/>
        <w:numPr>
          <w:ilvl w:val="0"/>
          <w:numId w:val="30"/>
        </w:numPr>
        <w:autoSpaceDE w:val="0"/>
        <w:autoSpaceDN w:val="0"/>
        <w:adjustRightInd w:val="0"/>
        <w:spacing w:after="240" w:line="360" w:lineRule="auto"/>
        <w:ind w:left="426"/>
        <w:jc w:val="both"/>
        <w:rPr>
          <w:rFonts w:ascii="Palatino Linotype" w:hAnsi="Palatino Linotype" w:cs="Arial"/>
          <w:sz w:val="24"/>
          <w:szCs w:val="24"/>
        </w:rPr>
      </w:pPr>
      <w:r>
        <w:rPr>
          <w:rFonts w:ascii="Palatino Linotype" w:hAnsi="Palatino Linotype" w:cs="Arial"/>
          <w:sz w:val="24"/>
          <w:szCs w:val="24"/>
        </w:rPr>
        <w:t>Con lo anterior, se pretende resaltar que, si bien, un incremento salarial resulta adecuando por las funciones propias que realiza todo el personal del Sujeto Obligado, pero también se</w:t>
      </w:r>
      <w:r w:rsidR="002E5811">
        <w:rPr>
          <w:rFonts w:ascii="Palatino Linotype" w:hAnsi="Palatino Linotype" w:cs="Arial"/>
          <w:sz w:val="24"/>
          <w:szCs w:val="24"/>
        </w:rPr>
        <w:t>ría conveniente que se destine</w:t>
      </w:r>
      <w:r>
        <w:rPr>
          <w:rFonts w:ascii="Palatino Linotype" w:hAnsi="Palatino Linotype" w:cs="Arial"/>
          <w:sz w:val="24"/>
          <w:szCs w:val="24"/>
        </w:rPr>
        <w:t xml:space="preserve"> presupuesto para la implementación de tecnologías dirigidas a libros índice </w:t>
      </w:r>
      <w:r w:rsidRPr="002E5811">
        <w:rPr>
          <w:rFonts w:ascii="Palatino Linotype" w:hAnsi="Palatino Linotype" w:cs="Arial"/>
          <w:b/>
          <w:sz w:val="24"/>
          <w:szCs w:val="24"/>
        </w:rPr>
        <w:t>digitales</w:t>
      </w:r>
      <w:r>
        <w:rPr>
          <w:rFonts w:ascii="Palatino Linotype" w:hAnsi="Palatino Linotype" w:cs="Arial"/>
          <w:sz w:val="24"/>
          <w:szCs w:val="24"/>
        </w:rPr>
        <w:t xml:space="preserve">, lo cual, como se ha dicho, beneficiaría no solo en materia de Derecho de Acceso a la Información, sino también a las personas que acuden a los Juzgados Civiles a </w:t>
      </w:r>
      <w:r>
        <w:rPr>
          <w:rFonts w:ascii="Palatino Linotype" w:hAnsi="Palatino Linotype" w:cs="Arial"/>
          <w:sz w:val="24"/>
          <w:szCs w:val="24"/>
        </w:rPr>
        <w:lastRenderedPageBreak/>
        <w:t>buscar determinado expediente, trayendo como consecuencia una adecuada organización de sus archivos y por ende una rápida localización.</w:t>
      </w:r>
    </w:p>
    <w:p w:rsidR="004B787A" w:rsidRPr="004B787A" w:rsidRDefault="004B787A" w:rsidP="004B787A">
      <w:pPr>
        <w:pStyle w:val="Prrafodelista"/>
        <w:rPr>
          <w:rFonts w:ascii="Palatino Linotype" w:hAnsi="Palatino Linotype" w:cs="Arial"/>
          <w:sz w:val="24"/>
          <w:szCs w:val="24"/>
        </w:rPr>
      </w:pPr>
    </w:p>
    <w:p w:rsidR="00B35DFF" w:rsidRPr="00762FA0" w:rsidRDefault="00B35DFF" w:rsidP="00AE55C3">
      <w:pPr>
        <w:pStyle w:val="Ttulo1"/>
        <w:numPr>
          <w:ilvl w:val="0"/>
          <w:numId w:val="18"/>
        </w:numPr>
        <w:rPr>
          <w:rFonts w:ascii="Palatino Linotype" w:hAnsi="Palatino Linotype"/>
          <w:b/>
          <w:color w:val="auto"/>
          <w:sz w:val="24"/>
          <w:szCs w:val="24"/>
        </w:rPr>
      </w:pPr>
      <w:bookmarkStart w:id="4" w:name="_Toc527135322"/>
      <w:r w:rsidRPr="00762FA0">
        <w:rPr>
          <w:rFonts w:ascii="Palatino Linotype" w:hAnsi="Palatino Linotype"/>
          <w:b/>
          <w:color w:val="auto"/>
          <w:sz w:val="24"/>
          <w:szCs w:val="24"/>
        </w:rPr>
        <w:t>Conclusión</w:t>
      </w:r>
      <w:bookmarkEnd w:id="4"/>
    </w:p>
    <w:p w:rsidR="00B35DFF" w:rsidRPr="00762FA0" w:rsidRDefault="00B35DFF" w:rsidP="00B35DFF">
      <w:pPr>
        <w:pStyle w:val="Prrafodelista"/>
        <w:spacing w:line="360" w:lineRule="auto"/>
        <w:ind w:left="360"/>
        <w:jc w:val="both"/>
        <w:rPr>
          <w:rFonts w:ascii="Palatino Linotype" w:hAnsi="Palatino Linotype"/>
          <w:sz w:val="24"/>
          <w:szCs w:val="24"/>
        </w:rPr>
      </w:pPr>
    </w:p>
    <w:p w:rsidR="00FF0DA1" w:rsidRPr="00762FA0" w:rsidRDefault="00762FA0" w:rsidP="00762FA0">
      <w:pPr>
        <w:pStyle w:val="Prrafodelista"/>
        <w:numPr>
          <w:ilvl w:val="0"/>
          <w:numId w:val="8"/>
        </w:numPr>
        <w:spacing w:line="360" w:lineRule="auto"/>
        <w:jc w:val="both"/>
        <w:rPr>
          <w:rFonts w:ascii="Palatino Linotype" w:hAnsi="Palatino Linotype"/>
          <w:sz w:val="24"/>
          <w:szCs w:val="24"/>
        </w:rPr>
      </w:pPr>
      <w:r w:rsidRPr="00762FA0">
        <w:rPr>
          <w:rFonts w:ascii="Palatino Linotype" w:hAnsi="Palatino Linotype"/>
          <w:sz w:val="24"/>
          <w:szCs w:val="24"/>
        </w:rPr>
        <w:t>En cumplimiento al mandato constitucional</w:t>
      </w:r>
      <w:r w:rsidR="004B0EAC">
        <w:rPr>
          <w:rFonts w:ascii="Palatino Linotype" w:hAnsi="Palatino Linotype"/>
          <w:sz w:val="24"/>
          <w:szCs w:val="24"/>
        </w:rPr>
        <w:t>, los Sujetos Obligados se ven impuestos a</w:t>
      </w:r>
      <w:r w:rsidRPr="00762FA0">
        <w:rPr>
          <w:rFonts w:ascii="Palatino Linotype" w:hAnsi="Palatino Linotype"/>
          <w:sz w:val="24"/>
          <w:szCs w:val="24"/>
        </w:rPr>
        <w:t xml:space="preserve"> promover, respetar y garantizar el derecho de acceso a la informaci</w:t>
      </w:r>
      <w:r w:rsidR="00340909">
        <w:rPr>
          <w:rFonts w:ascii="Palatino Linotype" w:hAnsi="Palatino Linotype"/>
          <w:sz w:val="24"/>
          <w:szCs w:val="24"/>
        </w:rPr>
        <w:t>ón y para tal efecto deben implementar medidas que disminuyan las posibilidades de realizar una afectación a los derechos de los particulares, tal y como lo es la implementación de tecnologías para dar atención y cumplimiento a las solicitudes de acceso a la información.</w:t>
      </w:r>
      <w:r w:rsidR="003C76CA">
        <w:rPr>
          <w:rFonts w:ascii="Palatino Linotype" w:hAnsi="Palatino Linotype"/>
          <w:sz w:val="24"/>
          <w:szCs w:val="24"/>
        </w:rPr>
        <w:t xml:space="preserve"> </w:t>
      </w:r>
    </w:p>
    <w:p w:rsidR="00307DA3" w:rsidRPr="00762FA0" w:rsidRDefault="00307DA3" w:rsidP="00575D84">
      <w:pPr>
        <w:spacing w:line="360" w:lineRule="auto"/>
        <w:jc w:val="both"/>
        <w:rPr>
          <w:rFonts w:ascii="Palatino Linotype" w:hAnsi="Palatino Linotype"/>
          <w:sz w:val="24"/>
          <w:szCs w:val="24"/>
        </w:rPr>
      </w:pPr>
    </w:p>
    <w:p w:rsidR="00FF0DA1" w:rsidRPr="00762FA0" w:rsidRDefault="00FF0DA1" w:rsidP="00575D84">
      <w:pPr>
        <w:spacing w:line="360" w:lineRule="auto"/>
        <w:jc w:val="both"/>
        <w:rPr>
          <w:rFonts w:ascii="Palatino Linotype" w:hAnsi="Palatino Linotype"/>
          <w:sz w:val="24"/>
          <w:szCs w:val="24"/>
        </w:rPr>
      </w:pPr>
    </w:p>
    <w:p w:rsidR="00473A35" w:rsidRDefault="00473A35" w:rsidP="00575D84">
      <w:pPr>
        <w:spacing w:line="360" w:lineRule="auto"/>
        <w:jc w:val="both"/>
        <w:rPr>
          <w:rFonts w:ascii="Palatino Linotype" w:hAnsi="Palatino Linotype"/>
          <w:sz w:val="24"/>
          <w:szCs w:val="24"/>
        </w:rPr>
      </w:pPr>
    </w:p>
    <w:p w:rsidR="00340909" w:rsidRPr="00762FA0" w:rsidRDefault="00340909" w:rsidP="00575D84">
      <w:pPr>
        <w:spacing w:line="360" w:lineRule="auto"/>
        <w:jc w:val="both"/>
        <w:rPr>
          <w:rFonts w:ascii="Palatino Linotype" w:hAnsi="Palatino Linotype"/>
          <w:sz w:val="24"/>
          <w:szCs w:val="24"/>
        </w:rPr>
      </w:pPr>
    </w:p>
    <w:p w:rsidR="005A4FE3" w:rsidRPr="00762FA0" w:rsidRDefault="005A4FE3" w:rsidP="005A4FE3">
      <w:pPr>
        <w:spacing w:line="360" w:lineRule="auto"/>
        <w:jc w:val="center"/>
        <w:rPr>
          <w:rFonts w:ascii="Palatino Linotype" w:hAnsi="Palatino Linotype"/>
          <w:b/>
          <w:sz w:val="24"/>
          <w:szCs w:val="24"/>
        </w:rPr>
      </w:pPr>
      <w:r w:rsidRPr="00762FA0">
        <w:rPr>
          <w:rFonts w:ascii="Palatino Linotype" w:hAnsi="Palatino Linotype"/>
          <w:b/>
          <w:sz w:val="24"/>
          <w:szCs w:val="24"/>
        </w:rPr>
        <w:t>JOSÉ GUADALUPE LUNA HERNANDEZ</w:t>
      </w:r>
    </w:p>
    <w:p w:rsidR="007C7C8A" w:rsidRPr="00762FA0" w:rsidRDefault="005A4FE3" w:rsidP="0022566B">
      <w:pPr>
        <w:spacing w:line="360" w:lineRule="auto"/>
        <w:jc w:val="center"/>
        <w:rPr>
          <w:rFonts w:ascii="Palatino Linotype" w:hAnsi="Palatino Linotype"/>
          <w:b/>
          <w:sz w:val="24"/>
          <w:szCs w:val="24"/>
        </w:rPr>
      </w:pPr>
      <w:r w:rsidRPr="00762FA0">
        <w:rPr>
          <w:rFonts w:ascii="Palatino Linotype" w:hAnsi="Palatino Linotype"/>
          <w:b/>
          <w:sz w:val="24"/>
          <w:szCs w:val="24"/>
        </w:rPr>
        <w:t>COMISIONADO</w:t>
      </w:r>
    </w:p>
    <w:p w:rsidR="0022628C" w:rsidRPr="00762FA0" w:rsidRDefault="00FF7FA0" w:rsidP="00FF7FA0">
      <w:pPr>
        <w:spacing w:line="360" w:lineRule="auto"/>
        <w:jc w:val="center"/>
        <w:rPr>
          <w:rFonts w:ascii="Palatino Linotype" w:hAnsi="Palatino Linotype"/>
          <w:b/>
          <w:sz w:val="24"/>
          <w:szCs w:val="24"/>
        </w:rPr>
      </w:pPr>
      <w:r w:rsidRPr="00762FA0">
        <w:rPr>
          <w:rFonts w:ascii="Palatino Linotype" w:hAnsi="Palatino Linotype"/>
          <w:b/>
          <w:sz w:val="24"/>
          <w:szCs w:val="24"/>
        </w:rPr>
        <w:t>(Rúbrica)</w:t>
      </w:r>
    </w:p>
    <w:p w:rsidR="00E940EB" w:rsidRPr="00762FA0" w:rsidRDefault="005A4FE3" w:rsidP="00827A65">
      <w:pPr>
        <w:spacing w:line="360" w:lineRule="auto"/>
        <w:rPr>
          <w:rFonts w:ascii="Palatino Linotype" w:hAnsi="Palatino Linotype"/>
          <w:sz w:val="24"/>
          <w:szCs w:val="24"/>
        </w:rPr>
      </w:pPr>
      <w:r w:rsidRPr="00762FA0">
        <w:rPr>
          <w:rFonts w:ascii="Palatino Linotype" w:hAnsi="Palatino Linotype"/>
          <w:b/>
          <w:sz w:val="24"/>
          <w:szCs w:val="24"/>
        </w:rPr>
        <w:t>JGLH/ADM</w:t>
      </w:r>
      <w:r w:rsidR="00827A65" w:rsidRPr="00762FA0">
        <w:rPr>
          <w:rFonts w:ascii="Palatino Linotype" w:hAnsi="Palatino Linotype"/>
          <w:b/>
          <w:sz w:val="24"/>
          <w:szCs w:val="24"/>
        </w:rPr>
        <w:t>.</w:t>
      </w:r>
      <w:bookmarkStart w:id="5" w:name="_GoBack"/>
      <w:bookmarkEnd w:id="5"/>
    </w:p>
    <w:sectPr w:rsidR="00E940EB" w:rsidRPr="00762FA0" w:rsidSect="00746B97">
      <w:headerReference w:type="even" r:id="rId8"/>
      <w:headerReference w:type="default" r:id="rId9"/>
      <w:footerReference w:type="default" r:id="rId10"/>
      <w:headerReference w:type="first" r:id="rId11"/>
      <w:pgSz w:w="12240" w:h="15840" w:code="1"/>
      <w:pgMar w:top="2495" w:right="1750"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24B" w:rsidRDefault="006A124B" w:rsidP="00DC559A">
      <w:pPr>
        <w:spacing w:after="0" w:line="240" w:lineRule="auto"/>
      </w:pPr>
      <w:r>
        <w:separator/>
      </w:r>
    </w:p>
  </w:endnote>
  <w:endnote w:type="continuationSeparator" w:id="0">
    <w:p w:rsidR="006A124B" w:rsidRDefault="006A124B"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55158"/>
      <w:docPartObj>
        <w:docPartGallery w:val="Page Numbers (Bottom of Page)"/>
        <w:docPartUnique/>
      </w:docPartObj>
    </w:sdtPr>
    <w:sdtEndPr/>
    <w:sdtContent>
      <w:sdt>
        <w:sdtPr>
          <w:id w:val="-1769616900"/>
          <w:docPartObj>
            <w:docPartGallery w:val="Page Numbers (Top of Page)"/>
            <w:docPartUnique/>
          </w:docPartObj>
        </w:sdtPr>
        <w:sdtEndPr/>
        <w:sdtContent>
          <w:p w:rsidR="00AD4277" w:rsidRDefault="00AD42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655FD">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655FD">
              <w:rPr>
                <w:b/>
                <w:bCs/>
                <w:noProof/>
              </w:rPr>
              <w:t>17</w:t>
            </w:r>
            <w:r>
              <w:rPr>
                <w:b/>
                <w:bCs/>
                <w:sz w:val="24"/>
                <w:szCs w:val="24"/>
              </w:rPr>
              <w:fldChar w:fldCharType="end"/>
            </w:r>
          </w:p>
        </w:sdtContent>
      </w:sdt>
    </w:sdtContent>
  </w:sdt>
  <w:p w:rsidR="00CD5D3B" w:rsidRDefault="00CD5D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24B" w:rsidRDefault="006A124B" w:rsidP="00DC559A">
      <w:pPr>
        <w:spacing w:after="0" w:line="240" w:lineRule="auto"/>
      </w:pPr>
      <w:r>
        <w:separator/>
      </w:r>
    </w:p>
  </w:footnote>
  <w:footnote w:type="continuationSeparator" w:id="0">
    <w:p w:rsidR="006A124B" w:rsidRDefault="006A124B" w:rsidP="00DC559A">
      <w:pPr>
        <w:spacing w:after="0" w:line="240" w:lineRule="auto"/>
      </w:pPr>
      <w:r>
        <w:continuationSeparator/>
      </w:r>
    </w:p>
  </w:footnote>
  <w:footnote w:id="1">
    <w:p w:rsidR="005279CD" w:rsidRPr="002D44EE" w:rsidRDefault="005279CD" w:rsidP="005279CD">
      <w:pPr>
        <w:pStyle w:val="Textonotapie"/>
        <w:jc w:val="both"/>
        <w:rPr>
          <w:rFonts w:ascii="Palatino Linotype" w:hAnsi="Palatino Linotype"/>
        </w:rPr>
      </w:pPr>
      <w:r w:rsidRPr="00614C69">
        <w:rPr>
          <w:rStyle w:val="Refdenotaalpie"/>
          <w:rFonts w:ascii="Palatino Linotype" w:hAnsi="Palatino Linotype"/>
        </w:rPr>
        <w:footnoteRef/>
      </w:r>
      <w:r w:rsidRPr="00614C69">
        <w:rPr>
          <w:rFonts w:ascii="Palatino Linotype" w:hAnsi="Palatino Linotype"/>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r>
        <w:rPr>
          <w:rFonts w:ascii="Palatino Linotype" w:hAnsi="Palatino Linotype"/>
        </w:rPr>
        <w:t xml:space="preserve"> Criterio utilizado en la resolución </w:t>
      </w:r>
      <w:r w:rsidRPr="002D44EE">
        <w:rPr>
          <w:rFonts w:ascii="Palatino Linotype" w:hAnsi="Palatino Linotype" w:cs="Arial"/>
          <w:bCs/>
          <w:sz w:val="22"/>
          <w:szCs w:val="22"/>
          <w:lang w:eastAsia="es-MX"/>
        </w:rPr>
        <w:t xml:space="preserve">01653/INFOEM/IP/RR/2016 aprobada por </w:t>
      </w:r>
      <w:proofErr w:type="spellStart"/>
      <w:r w:rsidRPr="002D44EE">
        <w:rPr>
          <w:rFonts w:ascii="Palatino Linotype" w:hAnsi="Palatino Linotype" w:cs="Arial"/>
          <w:bCs/>
          <w:sz w:val="22"/>
          <w:szCs w:val="22"/>
          <w:lang w:eastAsia="es-MX"/>
        </w:rPr>
        <w:t>Uninimidad</w:t>
      </w:r>
      <w:proofErr w:type="spellEnd"/>
      <w:r w:rsidRPr="002D44EE">
        <w:rPr>
          <w:rFonts w:ascii="Palatino Linotype" w:hAnsi="Palatino Linotype" w:cs="Arial"/>
          <w:bCs/>
          <w:sz w:val="22"/>
          <w:szCs w:val="22"/>
          <w:lang w:eastAsia="es-MX"/>
        </w:rPr>
        <w:t xml:space="preserve"> de votos en la </w:t>
      </w:r>
      <w:proofErr w:type="spellStart"/>
      <w:r w:rsidRPr="002D44EE">
        <w:rPr>
          <w:rFonts w:ascii="Palatino Linotype" w:hAnsi="Palatino Linotype" w:cs="Arial"/>
          <w:bCs/>
          <w:sz w:val="22"/>
          <w:szCs w:val="22"/>
          <w:lang w:eastAsia="es-MX"/>
        </w:rPr>
        <w:t>vigesia</w:t>
      </w:r>
      <w:proofErr w:type="spellEnd"/>
      <w:r w:rsidRPr="002D44EE">
        <w:rPr>
          <w:rFonts w:ascii="Palatino Linotype" w:hAnsi="Palatino Linotype" w:cs="Arial"/>
          <w:bCs/>
          <w:sz w:val="22"/>
          <w:szCs w:val="22"/>
          <w:lang w:eastAsia="es-MX"/>
        </w:rPr>
        <w:t xml:space="preserve"> quinta sesión ordinaria celebrada el día cuatro (4) de julio de 2016.</w:t>
      </w:r>
    </w:p>
    <w:p w:rsidR="005279CD" w:rsidRPr="00942E11" w:rsidRDefault="005279CD" w:rsidP="005279CD">
      <w:pPr>
        <w:pStyle w:val="Textonotapie"/>
        <w:jc w:val="both"/>
        <w:rPr>
          <w:rFonts w:ascii="Palatino Linotype" w:hAnsi="Palatino Linotype"/>
        </w:rPr>
      </w:pPr>
    </w:p>
  </w:footnote>
  <w:footnote w:id="2">
    <w:p w:rsidR="005279CD" w:rsidRPr="00942E11" w:rsidRDefault="005279CD" w:rsidP="005279CD">
      <w:pPr>
        <w:jc w:val="both"/>
        <w:rPr>
          <w:rFonts w:ascii="Palatino Linotype" w:hAnsi="Palatino Linotype"/>
          <w:sz w:val="20"/>
          <w:szCs w:val="20"/>
        </w:rPr>
      </w:pPr>
      <w:r w:rsidRPr="00942E11">
        <w:rPr>
          <w:rStyle w:val="Refdenotaalpie"/>
          <w:rFonts w:ascii="Palatino Linotype" w:hAnsi="Palatino Linotype"/>
        </w:rPr>
        <w:footnoteRef/>
      </w:r>
      <w:r w:rsidRPr="00942E11">
        <w:rPr>
          <w:rFonts w:ascii="Palatino Linotype" w:hAnsi="Palatino Linotype"/>
          <w:sz w:val="20"/>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rsidR="005279CD" w:rsidRPr="00942E11" w:rsidRDefault="005279CD" w:rsidP="005279CD">
      <w:pPr>
        <w:jc w:val="both"/>
        <w:rPr>
          <w:rFonts w:ascii="Palatino Linotype" w:hAnsi="Palatino Linotype"/>
          <w:i/>
          <w:sz w:val="20"/>
          <w:szCs w:val="20"/>
        </w:rPr>
      </w:pPr>
      <w:r w:rsidRPr="00942E11">
        <w:rPr>
          <w:rFonts w:ascii="Palatino Linotype" w:hAnsi="Palatino Linotype"/>
          <w:i/>
          <w:sz w:val="20"/>
          <w:szCs w:val="20"/>
        </w:rPr>
        <w:t xml:space="preserve">Expedientes: 0438/08 Pemex Exploración y Producción – Alonso Lujambio Irazábal 1751/09 Laboratorios de Biológicos y Reactivos de México S.A. de C.V. – María </w:t>
      </w:r>
      <w:proofErr w:type="spellStart"/>
      <w:r w:rsidRPr="00942E11">
        <w:rPr>
          <w:rFonts w:ascii="Palatino Linotype" w:hAnsi="Palatino Linotype"/>
          <w:i/>
          <w:sz w:val="20"/>
          <w:szCs w:val="20"/>
        </w:rPr>
        <w:t>Marván</w:t>
      </w:r>
      <w:proofErr w:type="spellEnd"/>
      <w:r w:rsidRPr="00942E11">
        <w:rPr>
          <w:rFonts w:ascii="Palatino Linotype" w:hAnsi="Palatino Linotype"/>
          <w:i/>
          <w:sz w:val="20"/>
          <w:szCs w:val="20"/>
        </w:rPr>
        <w:t xml:space="preserve"> Laborde 2868/09 Consejo Nacional de Ciencia y Tecnología – Jacqueline </w:t>
      </w:r>
      <w:proofErr w:type="spellStart"/>
      <w:r w:rsidRPr="00942E11">
        <w:rPr>
          <w:rFonts w:ascii="Palatino Linotype" w:hAnsi="Palatino Linotype"/>
          <w:i/>
          <w:sz w:val="20"/>
          <w:szCs w:val="20"/>
        </w:rPr>
        <w:t>Peschard</w:t>
      </w:r>
      <w:proofErr w:type="spellEnd"/>
      <w:r w:rsidRPr="00942E11">
        <w:rPr>
          <w:rFonts w:ascii="Palatino Linotype" w:hAnsi="Palatino Linotype"/>
          <w:i/>
          <w:sz w:val="20"/>
          <w:szCs w:val="20"/>
        </w:rPr>
        <w:t xml:space="preserve"> Mariscal 5160/09 Secretaría de Hacienda y Crédito Público – Ángel Trinidad Zaldívar 0304/10 Instituto Nacional de Cancerología – Jacqueline </w:t>
      </w:r>
      <w:proofErr w:type="spellStart"/>
      <w:r w:rsidRPr="00942E11">
        <w:rPr>
          <w:rFonts w:ascii="Palatino Linotype" w:hAnsi="Palatino Linotype"/>
          <w:i/>
          <w:sz w:val="20"/>
          <w:szCs w:val="20"/>
        </w:rPr>
        <w:t>Peschard</w:t>
      </w:r>
      <w:proofErr w:type="spellEnd"/>
      <w:r w:rsidRPr="00942E11">
        <w:rPr>
          <w:rFonts w:ascii="Palatino Linotype" w:hAnsi="Palatino Linotype"/>
          <w:i/>
          <w:sz w:val="20"/>
          <w:szCs w:val="20"/>
        </w:rPr>
        <w:t xml:space="preserve"> Mariscal</w:t>
      </w:r>
    </w:p>
  </w:footnote>
  <w:footnote w:id="3">
    <w:p w:rsidR="005279CD" w:rsidRPr="00942E11" w:rsidRDefault="005279CD" w:rsidP="005279CD">
      <w:pPr>
        <w:pStyle w:val="Textonotapie"/>
        <w:jc w:val="both"/>
        <w:rPr>
          <w:rFonts w:ascii="Palatino Linotype" w:hAnsi="Palatino Linotype"/>
          <w:i/>
        </w:rPr>
      </w:pPr>
      <w:r w:rsidRPr="00942E11">
        <w:rPr>
          <w:rStyle w:val="Refdenotaalpie"/>
          <w:rFonts w:ascii="Palatino Linotype" w:hAnsi="Palatino Linotype"/>
        </w:rPr>
        <w:footnoteRef/>
      </w:r>
      <w:r w:rsidRPr="00942E11">
        <w:rPr>
          <w:rFonts w:ascii="Palatino Linotype" w:hAnsi="Palatino Linotype"/>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w:t>
      </w:r>
      <w:r>
        <w:rPr>
          <w:rFonts w:ascii="Palatino Linotype" w:hAnsi="Palatino Linotype"/>
        </w:rPr>
        <w:t>c</w:t>
      </w:r>
      <w:r w:rsidRPr="00942E11">
        <w:rPr>
          <w:rFonts w:ascii="Palatino Linotype" w:hAnsi="Palatino Linotype"/>
        </w:rPr>
        <w:t xml:space="preserve">ial para la Libertad de Expresión. </w:t>
      </w:r>
      <w:r w:rsidRPr="00942E11">
        <w:rPr>
          <w:rFonts w:ascii="Palatino Linotype" w:hAnsi="Palatino Linotype"/>
          <w:i/>
        </w:rPr>
        <w:t>El derecho de acceso a la información en e</w:t>
      </w:r>
      <w:r>
        <w:rPr>
          <w:rFonts w:ascii="Palatino Linotype" w:hAnsi="Palatino Linotype"/>
          <w:i/>
        </w:rPr>
        <w:t>l marco jurídico interamericano</w:t>
      </w:r>
      <w:r w:rsidRPr="00942E11">
        <w:rPr>
          <w:rFonts w:ascii="Palatino Linotype" w:hAnsi="Palatino Linotype"/>
          <w:i/>
        </w:rPr>
        <w:t>.</w:t>
      </w:r>
      <w:r w:rsidRPr="00942E11">
        <w:rPr>
          <w:rFonts w:ascii="Palatino Linotype" w:hAnsi="Palatino Linotype"/>
        </w:rPr>
        <w:t xml:space="preserve"> 2ª edición, Comisión Interamericana de Derechos Humanos, 2012. Párr. 21.</w:t>
      </w:r>
    </w:p>
  </w:footnote>
  <w:footnote w:id="4">
    <w:p w:rsidR="005279CD" w:rsidRPr="00942E11" w:rsidRDefault="005279CD" w:rsidP="005279CD">
      <w:pPr>
        <w:jc w:val="both"/>
        <w:rPr>
          <w:rFonts w:ascii="Palatino Linotype" w:hAnsi="Palatino Linotype" w:cs="Arial"/>
          <w:sz w:val="20"/>
          <w:szCs w:val="20"/>
        </w:rPr>
      </w:pPr>
      <w:r w:rsidRPr="00942E11">
        <w:rPr>
          <w:rStyle w:val="Refdenotaalpie"/>
          <w:rFonts w:ascii="Palatino Linotype" w:hAnsi="Palatino Linotype"/>
        </w:rPr>
        <w:footnoteRef/>
      </w:r>
      <w:r w:rsidRPr="00942E11">
        <w:rPr>
          <w:rFonts w:ascii="Palatino Linotype" w:hAnsi="Palatino Linotype"/>
          <w:sz w:val="20"/>
          <w:szCs w:val="20"/>
        </w:rPr>
        <w:t xml:space="preserve"> “156. La jurisprudencia interamericana ha condenado en distintas decisiones la adopción de medidas estatales que constituyen medios indirectos de restricción de la libertad de expresión. Así, por ejemplo, ha condenado la exigencia de la colegiatura obligatoria de periodistas, el uso arbitrario de las facultades de regulación del Estado cuando éste ha sido utilizado para iniciar acciones intimidatorias contra las directivas de un medio de comunicación, o para revocar la nacionalidad del director de un medio como consecuencia de la línea editorial de los programas que transmite. Otra forma de restricción indirecta es la que se produce mediante declaraciones de funcionarios públicos cuando, dado </w:t>
      </w:r>
      <w:r>
        <w:rPr>
          <w:rFonts w:ascii="Palatino Linotype" w:hAnsi="Palatino Linotype"/>
          <w:sz w:val="20"/>
          <w:szCs w:val="20"/>
        </w:rPr>
        <w:t>el contexto, pueden constituir ´</w:t>
      </w:r>
      <w:r w:rsidRPr="00942E11">
        <w:rPr>
          <w:rFonts w:ascii="Palatino Linotype" w:hAnsi="Palatino Linotype"/>
          <w:sz w:val="20"/>
          <w:szCs w:val="20"/>
        </w:rPr>
        <w:t xml:space="preserve">formas de injerencia directa o indirecta o presión lesiva en los derechos de quienes pretenden contribuir a la deliberación </w:t>
      </w:r>
      <w:proofErr w:type="spellStart"/>
      <w:r w:rsidRPr="00942E11">
        <w:rPr>
          <w:rFonts w:ascii="Palatino Linotype" w:hAnsi="Palatino Linotype"/>
          <w:sz w:val="20"/>
          <w:szCs w:val="20"/>
        </w:rPr>
        <w:t>publica</w:t>
      </w:r>
      <w:proofErr w:type="spellEnd"/>
      <w:r w:rsidRPr="00942E11">
        <w:rPr>
          <w:rFonts w:ascii="Palatino Linotype" w:hAnsi="Palatino Linotype"/>
          <w:sz w:val="20"/>
          <w:szCs w:val="20"/>
        </w:rPr>
        <w:t xml:space="preserve"> mediante la expresi</w:t>
      </w:r>
      <w:r>
        <w:rPr>
          <w:rFonts w:ascii="Palatino Linotype" w:hAnsi="Palatino Linotype"/>
          <w:sz w:val="20"/>
          <w:szCs w:val="20"/>
        </w:rPr>
        <w:t>ón y difusión de su pensamiento ´</w:t>
      </w:r>
      <w:r w:rsidRPr="00942E11">
        <w:rPr>
          <w:rFonts w:ascii="Palatino Linotype" w:hAnsi="Palatino Linotype"/>
          <w:sz w:val="20"/>
          <w:szCs w:val="20"/>
        </w:rPr>
        <w:t>. Asimismo, pese a que en el caso concreto no la encontró probada, la Corte Interamericana ha sostenido que sería una restricción indirecta la exigencia desproporcionada o discriminatoria de “acreditaciones o autorizaciones a los medios de prensa para la participación en eventos oficiales</w:t>
      </w:r>
      <w:r>
        <w:rPr>
          <w:rFonts w:ascii="Palatino Linotype" w:hAnsi="Palatino Linotype"/>
          <w:sz w:val="20"/>
          <w:szCs w:val="20"/>
        </w:rPr>
        <w:t xml:space="preserve"> ´</w:t>
      </w:r>
      <w:r w:rsidRPr="00942E11">
        <w:rPr>
          <w:rFonts w:ascii="Palatino Linotype" w:hAnsi="Palatino Linotype"/>
          <w:sz w:val="20"/>
          <w:szCs w:val="20"/>
        </w:rPr>
        <w:t xml:space="preserve">”.  Relatoría Especial para la Libertad de Expresión. </w:t>
      </w:r>
      <w:r w:rsidRPr="00942E11">
        <w:rPr>
          <w:rFonts w:ascii="Palatino Linotype" w:hAnsi="Palatino Linotype"/>
          <w:i/>
          <w:sz w:val="20"/>
          <w:szCs w:val="20"/>
        </w:rPr>
        <w:t>Marco Jurídico Interamericano sobre el derecho a la libertad de expresión.</w:t>
      </w:r>
      <w:r w:rsidRPr="00942E11">
        <w:rPr>
          <w:rFonts w:ascii="Palatino Linotype" w:hAnsi="Palatino Linotype"/>
          <w:sz w:val="20"/>
          <w:szCs w:val="20"/>
        </w:rPr>
        <w:t xml:space="preserve"> 2ª edición, Comisión Interamericana de Derechos Humanos, 2012. Párr. 21. </w:t>
      </w:r>
    </w:p>
    <w:p w:rsidR="005279CD" w:rsidRPr="00942E11" w:rsidRDefault="005279CD" w:rsidP="005279CD">
      <w:pPr>
        <w:jc w:val="both"/>
        <w:rPr>
          <w:rFonts w:ascii="Palatino Linotype" w:hAnsi="Palatino Linotype" w:cs="Arial"/>
          <w:sz w:val="20"/>
          <w:szCs w:val="20"/>
        </w:rPr>
      </w:pPr>
      <w:r w:rsidRPr="00942E11">
        <w:rPr>
          <w:rFonts w:ascii="Palatino Linotype" w:hAnsi="Palatino Linotype" w:cs="Arial"/>
          <w:sz w:val="20"/>
          <w:szCs w:val="20"/>
        </w:rPr>
        <w:t xml:space="preserve"> “164. Asimismo, la Corte recuerda que para que se configure una violación al artículo 13.3 de la Convención es necesario que la vía o el medio restrinjan efectivamente, en forma</w:t>
      </w:r>
      <w:r w:rsidRPr="00942E11">
        <w:rPr>
          <w:rStyle w:val="apple-converted-space"/>
          <w:rFonts w:ascii="Palatino Linotype" w:hAnsi="Palatino Linotype" w:cs="Arial"/>
          <w:sz w:val="20"/>
          <w:szCs w:val="20"/>
        </w:rPr>
        <w:t> </w:t>
      </w:r>
      <w:r w:rsidRPr="00942E11">
        <w:rPr>
          <w:rStyle w:val="nfasis"/>
          <w:rFonts w:ascii="Palatino Linotype" w:hAnsi="Palatino Linotype" w:cs="Arial"/>
          <w:b/>
          <w:bCs/>
          <w:sz w:val="20"/>
          <w:szCs w:val="20"/>
        </w:rPr>
        <w:t>indirecta</w:t>
      </w:r>
      <w:r w:rsidRPr="00942E11">
        <w:rPr>
          <w:rFonts w:ascii="Palatino Linotype" w:hAnsi="Palatino Linotype" w:cs="Arial"/>
          <w:sz w:val="20"/>
          <w:szCs w:val="20"/>
        </w:rPr>
        <w:t>, la comunicación y la circulación de ideas y opiniones. Además, la Corte reitera que el artículo 13.3 de la Convención impone al Estado obligaciones de garantía, aún en el ámbito de las relaciones entre particulares, pues no sólo abarca restricciones gubernamentales</w:t>
      </w:r>
      <w:r w:rsidRPr="00942E11">
        <w:rPr>
          <w:rStyle w:val="apple-converted-space"/>
          <w:rFonts w:ascii="Palatino Linotype" w:hAnsi="Palatino Linotype" w:cs="Arial"/>
          <w:sz w:val="20"/>
          <w:szCs w:val="20"/>
        </w:rPr>
        <w:t> </w:t>
      </w:r>
      <w:r w:rsidRPr="00942E11">
        <w:rPr>
          <w:rStyle w:val="nfasis"/>
          <w:rFonts w:ascii="Palatino Linotype" w:hAnsi="Palatino Linotype" w:cs="Arial"/>
          <w:b/>
          <w:bCs/>
          <w:sz w:val="20"/>
          <w:szCs w:val="20"/>
        </w:rPr>
        <w:t>indirecta</w:t>
      </w:r>
      <w:r w:rsidRPr="00942E11">
        <w:rPr>
          <w:rFonts w:ascii="Palatino Linotype" w:hAnsi="Palatino Linotype" w:cs="Arial"/>
          <w:sz w:val="20"/>
          <w:szCs w:val="20"/>
        </w:rPr>
        <w:t>s, sino también controles particulares que produzcan el mismo resultado. Al respecto, la Corte resalta que la</w:t>
      </w:r>
      <w:r w:rsidRPr="00942E11">
        <w:rPr>
          <w:rStyle w:val="apple-converted-space"/>
          <w:rFonts w:ascii="Palatino Linotype" w:hAnsi="Palatino Linotype" w:cs="Arial"/>
          <w:sz w:val="20"/>
          <w:szCs w:val="20"/>
        </w:rPr>
        <w:t> </w:t>
      </w:r>
      <w:r w:rsidRPr="00942E11">
        <w:rPr>
          <w:rStyle w:val="nfasis"/>
          <w:rFonts w:ascii="Palatino Linotype" w:hAnsi="Palatino Linotype" w:cs="Arial"/>
          <w:b/>
          <w:bCs/>
          <w:sz w:val="20"/>
          <w:szCs w:val="20"/>
        </w:rPr>
        <w:t>restricción indirecta</w:t>
      </w:r>
      <w:r w:rsidRPr="00942E11">
        <w:rPr>
          <w:rStyle w:val="apple-converted-space"/>
          <w:rFonts w:ascii="Palatino Linotype" w:hAnsi="Palatino Linotype" w:cs="Arial"/>
          <w:sz w:val="20"/>
          <w:szCs w:val="20"/>
        </w:rPr>
        <w:t> </w:t>
      </w:r>
      <w:r w:rsidRPr="00942E11">
        <w:rPr>
          <w:rFonts w:ascii="Palatino Linotype" w:hAnsi="Palatino Linotype" w:cs="Arial"/>
          <w:sz w:val="20"/>
          <w:szCs w:val="20"/>
        </w:rPr>
        <w:t xml:space="preserve">puede llegar a generar un efecto disuasivo, atemorizador e inhibidor sobre todos los que ejercen el derecho a la libertad de expresión, lo que, a su vez, impide el debate público sobre temas de interés de la sociedad”. </w:t>
      </w:r>
      <w:hyperlink r:id="rId1" w:history="1">
        <w:r w:rsidRPr="00942E11">
          <w:rPr>
            <w:rStyle w:val="Hipervnculo"/>
            <w:rFonts w:ascii="Palatino Linotype" w:hAnsi="Palatino Linotype" w:cs="Arial"/>
            <w:color w:val="auto"/>
            <w:sz w:val="20"/>
            <w:szCs w:val="20"/>
          </w:rPr>
          <w:t>Corte I</w:t>
        </w:r>
        <w:r>
          <w:rPr>
            <w:rStyle w:val="Hipervnculo"/>
            <w:rFonts w:ascii="Palatino Linotype" w:hAnsi="Palatino Linotype" w:cs="Arial"/>
            <w:color w:val="auto"/>
            <w:sz w:val="20"/>
            <w:szCs w:val="20"/>
          </w:rPr>
          <w:t xml:space="preserve">nteramericana de </w:t>
        </w:r>
        <w:r w:rsidRPr="00942E11">
          <w:rPr>
            <w:rStyle w:val="Hipervnculo"/>
            <w:rFonts w:ascii="Palatino Linotype" w:hAnsi="Palatino Linotype" w:cs="Arial"/>
            <w:color w:val="auto"/>
            <w:sz w:val="20"/>
            <w:szCs w:val="20"/>
          </w:rPr>
          <w:t>D</w:t>
        </w:r>
        <w:r>
          <w:rPr>
            <w:rStyle w:val="Hipervnculo"/>
            <w:rFonts w:ascii="Palatino Linotype" w:hAnsi="Palatino Linotype" w:cs="Arial"/>
            <w:color w:val="auto"/>
            <w:sz w:val="20"/>
            <w:szCs w:val="20"/>
          </w:rPr>
          <w:t xml:space="preserve">erechos </w:t>
        </w:r>
        <w:r w:rsidRPr="00942E11">
          <w:rPr>
            <w:rStyle w:val="Hipervnculo"/>
            <w:rFonts w:ascii="Palatino Linotype" w:hAnsi="Palatino Linotype" w:cs="Arial"/>
            <w:color w:val="auto"/>
            <w:sz w:val="20"/>
            <w:szCs w:val="20"/>
          </w:rPr>
          <w:t>H</w:t>
        </w:r>
        <w:r>
          <w:rPr>
            <w:rStyle w:val="Hipervnculo"/>
            <w:rFonts w:ascii="Palatino Linotype" w:hAnsi="Palatino Linotype" w:cs="Arial"/>
            <w:color w:val="auto"/>
            <w:sz w:val="20"/>
            <w:szCs w:val="20"/>
          </w:rPr>
          <w:t>umanos</w:t>
        </w:r>
        <w:r w:rsidRPr="00942E11">
          <w:rPr>
            <w:rStyle w:val="Hipervnculo"/>
            <w:rFonts w:ascii="Palatino Linotype" w:hAnsi="Palatino Linotype" w:cs="Arial"/>
            <w:color w:val="auto"/>
            <w:sz w:val="20"/>
            <w:szCs w:val="20"/>
          </w:rPr>
          <w:t xml:space="preserve">. Caso </w:t>
        </w:r>
        <w:proofErr w:type="spellStart"/>
        <w:r w:rsidRPr="00942E11">
          <w:rPr>
            <w:rStyle w:val="Hipervnculo"/>
            <w:rFonts w:ascii="Palatino Linotype" w:hAnsi="Palatino Linotype" w:cs="Arial"/>
            <w:color w:val="auto"/>
            <w:sz w:val="20"/>
            <w:szCs w:val="20"/>
          </w:rPr>
          <w:t>Granier</w:t>
        </w:r>
        <w:proofErr w:type="spellEnd"/>
        <w:r w:rsidRPr="00942E11">
          <w:rPr>
            <w:rStyle w:val="Hipervnculo"/>
            <w:rFonts w:ascii="Palatino Linotype" w:hAnsi="Palatino Linotype" w:cs="Arial"/>
            <w:color w:val="auto"/>
            <w:sz w:val="20"/>
            <w:szCs w:val="20"/>
          </w:rPr>
          <w:t xml:space="preserve"> y otros (Radio Caracas Televisión) Vs. Venezuela. Excepciones Preliminares, Fondo, Reparaciones y Costas. Sentencia de 22 de junio de 2015. Serie C No. 293, Párr. 164</w:t>
        </w:r>
      </w:hyperlink>
      <w:r>
        <w:rPr>
          <w:rFonts w:ascii="Palatino Linotype" w:hAnsi="Palatino Linotype" w:cs="Arial"/>
          <w:sz w:val="20"/>
          <w:szCs w:val="20"/>
        </w:rPr>
        <w:t>.</w:t>
      </w:r>
    </w:p>
  </w:footnote>
  <w:footnote w:id="5">
    <w:p w:rsidR="005279CD" w:rsidRPr="00942E11" w:rsidRDefault="005279CD" w:rsidP="005279CD">
      <w:pPr>
        <w:pStyle w:val="Textonotapie"/>
        <w:jc w:val="both"/>
        <w:rPr>
          <w:rFonts w:ascii="Palatino Linotype" w:hAnsi="Palatino Linotype"/>
        </w:rPr>
      </w:pPr>
      <w:r w:rsidRPr="00942E11">
        <w:rPr>
          <w:rStyle w:val="Refdenotaalpie"/>
          <w:rFonts w:ascii="Palatino Linotype" w:hAnsi="Palatino Linotype"/>
        </w:rPr>
        <w:footnoteRef/>
      </w:r>
      <w:r w:rsidRPr="00942E11">
        <w:rPr>
          <w:rFonts w:ascii="Palatino Linotype" w:hAnsi="Palatino Linotype"/>
        </w:rPr>
        <w:t xml:space="preserve"> “Dar a las palabras de la Constitución un sentido absurdo o rebuscado. Ya hemos mencionado, al comienzo de este trabajo, la decisión de Oliver Cromwell de calcular, por meses ‘lunares’, en vez de meses ‘solares’ el plazo que contemplaba el art. VIII del </w:t>
      </w:r>
      <w:proofErr w:type="spellStart"/>
      <w:r w:rsidRPr="00942E11">
        <w:rPr>
          <w:rFonts w:ascii="Palatino Linotype" w:hAnsi="Palatino Linotype"/>
        </w:rPr>
        <w:t>Instrument</w:t>
      </w:r>
      <w:proofErr w:type="spellEnd"/>
      <w:r w:rsidRPr="00942E11">
        <w:rPr>
          <w:rFonts w:ascii="Palatino Linotype" w:hAnsi="Palatino Linotype"/>
        </w:rPr>
        <w:t xml:space="preserve"> of </w:t>
      </w:r>
      <w:proofErr w:type="spellStart"/>
      <w:r w:rsidRPr="00942E11">
        <w:rPr>
          <w:rFonts w:ascii="Palatino Linotype" w:hAnsi="Palatino Linotype"/>
        </w:rPr>
        <w:t>Government</w:t>
      </w:r>
      <w:proofErr w:type="spellEnd"/>
      <w:r w:rsidRPr="00942E11">
        <w:rPr>
          <w:rFonts w:ascii="Palatino Linotype" w:hAnsi="Palatino Linotype"/>
        </w:rPr>
        <w:t xml:space="preserve">” SAGÜÉS, Néstor Pedro. </w:t>
      </w:r>
      <w:r w:rsidRPr="00942E11">
        <w:rPr>
          <w:rFonts w:ascii="Palatino Linotype" w:hAnsi="Palatino Linotype"/>
          <w:i/>
        </w:rPr>
        <w:t>La interpretación judicial de la Constitución. De la Constitución Nacional a la Constitución Convencionalizada. México,</w:t>
      </w:r>
      <w:r w:rsidRPr="00942E11">
        <w:rPr>
          <w:rFonts w:ascii="Palatino Linotype" w:hAnsi="Palatino Linotype"/>
        </w:rPr>
        <w:t xml:space="preserve"> México, </w:t>
      </w:r>
      <w:proofErr w:type="spellStart"/>
      <w:r w:rsidRPr="00942E11">
        <w:rPr>
          <w:rFonts w:ascii="Palatino Linotype" w:hAnsi="Palatino Linotype"/>
        </w:rPr>
        <w:t>Coed</w:t>
      </w:r>
      <w:proofErr w:type="spellEnd"/>
      <w:r w:rsidRPr="00942E11">
        <w:rPr>
          <w:rFonts w:ascii="Palatino Linotype" w:hAnsi="Palatino Linotype"/>
        </w:rPr>
        <w:t>. Porrúa e IMDPC, 2014. Pág. 243.</w:t>
      </w:r>
    </w:p>
  </w:footnote>
  <w:footnote w:id="6">
    <w:p w:rsidR="005279CD" w:rsidRPr="00942E11" w:rsidRDefault="005279CD" w:rsidP="005279CD">
      <w:pPr>
        <w:pStyle w:val="Textonotapie"/>
        <w:jc w:val="both"/>
        <w:rPr>
          <w:rFonts w:ascii="Palatino Linotype" w:hAnsi="Palatino Linotype"/>
        </w:rPr>
      </w:pPr>
      <w:r w:rsidRPr="00942E11">
        <w:rPr>
          <w:rStyle w:val="Refdenotaalpie"/>
          <w:rFonts w:ascii="Palatino Linotype" w:hAnsi="Palatino Linotype"/>
        </w:rPr>
        <w:footnoteRef/>
      </w:r>
      <w:r w:rsidRPr="00942E11">
        <w:rPr>
          <w:rFonts w:ascii="Palatino Linotype" w:hAnsi="Palatino Linotype"/>
        </w:rPr>
        <w:t xml:space="preserve"> </w:t>
      </w:r>
      <w:hyperlink r:id="rId2" w:history="1">
        <w:r w:rsidRPr="00942E11">
          <w:rPr>
            <w:rStyle w:val="Hipervnculo"/>
            <w:rFonts w:ascii="Palatino Linotype" w:hAnsi="Palatino Linotype"/>
            <w:color w:val="auto"/>
          </w:rPr>
          <w:t>http://dle.rae.es/?id=M3a7YOZ</w:t>
        </w:r>
      </w:hyperlink>
      <w:r w:rsidRPr="00942E11">
        <w:rPr>
          <w:rFonts w:ascii="Palatino Linotype" w:hAnsi="Palatino Linotype"/>
        </w:rPr>
        <w:t xml:space="preserve"> consultado el 26 de septiembre del año en curso.</w:t>
      </w:r>
    </w:p>
  </w:footnote>
  <w:footnote w:id="7">
    <w:p w:rsidR="00340909" w:rsidRDefault="00340909">
      <w:pPr>
        <w:pStyle w:val="Textonotapie"/>
      </w:pPr>
      <w:r>
        <w:rPr>
          <w:rStyle w:val="Refdenotaalpie"/>
        </w:rPr>
        <w:footnoteRef/>
      </w:r>
      <w:r>
        <w:t xml:space="preserve"> Disponible para su consulta </w:t>
      </w:r>
      <w:hyperlink r:id="rId3" w:history="1">
        <w:r w:rsidRPr="00C94054">
          <w:rPr>
            <w:rStyle w:val="Hipervnculo"/>
          </w:rPr>
          <w:t>http://transparenciafiscal.edomex.gob.mx/sites/transparenciafiscal.edomex.gob.mx/files/files/pdf/marco-programatico-presupuestal/presupuesto-egresos-2018.pdf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6655F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7" o:spid="_x0000_s2049" type="#_x0000_t136" style="position:absolute;margin-left:0;margin-top:0;width:566.4pt;height:56.6pt;rotation:315;z-index:-251659264;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6655F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8" o:spid="_x0000_s2050" type="#_x0000_t136" style="position:absolute;margin-left:0;margin-top:0;width:566.4pt;height:56.6pt;rotation:315;z-index:-251658240;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p w:rsidR="00CD5D3B" w:rsidRDefault="00CD5D3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6655F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6" o:spid="_x0000_s2051" type="#_x0000_t136" style="position:absolute;margin-left:0;margin-top:0;width:566.4pt;height:56.6pt;rotation:315;z-index:-251657216;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C2E94"/>
    <w:multiLevelType w:val="hybridMultilevel"/>
    <w:tmpl w:val="8658500E"/>
    <w:lvl w:ilvl="0" w:tplc="7942789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F42E17"/>
    <w:multiLevelType w:val="hybridMultilevel"/>
    <w:tmpl w:val="CAA012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107F3B"/>
    <w:multiLevelType w:val="hybridMultilevel"/>
    <w:tmpl w:val="30F812A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5813181"/>
    <w:multiLevelType w:val="hybridMultilevel"/>
    <w:tmpl w:val="AC7A49E8"/>
    <w:lvl w:ilvl="0" w:tplc="1720976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A2657CE"/>
    <w:multiLevelType w:val="hybridMultilevel"/>
    <w:tmpl w:val="357E7638"/>
    <w:lvl w:ilvl="0" w:tplc="B7E079E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FE138AE"/>
    <w:multiLevelType w:val="hybridMultilevel"/>
    <w:tmpl w:val="7210662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E346C9F"/>
    <w:multiLevelType w:val="hybridMultilevel"/>
    <w:tmpl w:val="072C95AA"/>
    <w:lvl w:ilvl="0" w:tplc="38CC5C34">
      <w:start w:val="1"/>
      <w:numFmt w:val="decimal"/>
      <w:lvlText w:val="%1."/>
      <w:lvlJc w:val="left"/>
      <w:pPr>
        <w:ind w:left="360" w:hanging="360"/>
      </w:pPr>
      <w:rPr>
        <w:rFonts w:hint="default"/>
        <w:sz w:val="22"/>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4C30662"/>
    <w:multiLevelType w:val="hybridMultilevel"/>
    <w:tmpl w:val="04268D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1">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nsid w:val="65CC0A7C"/>
    <w:multiLevelType w:val="hybridMultilevel"/>
    <w:tmpl w:val="6936D91C"/>
    <w:lvl w:ilvl="0" w:tplc="B150CB8E">
      <w:start w:val="6"/>
      <w:numFmt w:val="upperRoman"/>
      <w:lvlText w:val="%1."/>
      <w:lvlJc w:val="left"/>
      <w:pPr>
        <w:ind w:left="720" w:hanging="72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68FA167B"/>
    <w:multiLevelType w:val="hybridMultilevel"/>
    <w:tmpl w:val="3B6E75EC"/>
    <w:lvl w:ilvl="0" w:tplc="3DB81CAE">
      <w:start w:val="17"/>
      <w:numFmt w:val="decimal"/>
      <w:lvlText w:val="%1."/>
      <w:lvlJc w:val="left"/>
      <w:pPr>
        <w:ind w:left="1146" w:hanging="360"/>
      </w:pPr>
      <w:rPr>
        <w:rFonts w:hint="default"/>
        <w:b w:val="0"/>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4E7F4A"/>
    <w:multiLevelType w:val="hybridMultilevel"/>
    <w:tmpl w:val="F9EA3132"/>
    <w:lvl w:ilvl="0" w:tplc="CDC8FD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02B6118"/>
    <w:multiLevelType w:val="hybridMultilevel"/>
    <w:tmpl w:val="25B63B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21"/>
  </w:num>
  <w:num w:numId="4">
    <w:abstractNumId w:val="12"/>
  </w:num>
  <w:num w:numId="5">
    <w:abstractNumId w:val="29"/>
  </w:num>
  <w:num w:numId="6">
    <w:abstractNumId w:val="13"/>
  </w:num>
  <w:num w:numId="7">
    <w:abstractNumId w:val="27"/>
  </w:num>
  <w:num w:numId="8">
    <w:abstractNumId w:val="15"/>
  </w:num>
  <w:num w:numId="9">
    <w:abstractNumId w:val="10"/>
  </w:num>
  <w:num w:numId="10">
    <w:abstractNumId w:val="26"/>
  </w:num>
  <w:num w:numId="11">
    <w:abstractNumId w:val="20"/>
  </w:num>
  <w:num w:numId="12">
    <w:abstractNumId w:val="22"/>
  </w:num>
  <w:num w:numId="13">
    <w:abstractNumId w:val="16"/>
  </w:num>
  <w:num w:numId="14">
    <w:abstractNumId w:val="5"/>
  </w:num>
  <w:num w:numId="15">
    <w:abstractNumId w:val="6"/>
  </w:num>
  <w:num w:numId="16">
    <w:abstractNumId w:val="4"/>
  </w:num>
  <w:num w:numId="17">
    <w:abstractNumId w:val="9"/>
  </w:num>
  <w:num w:numId="18">
    <w:abstractNumId w:val="17"/>
  </w:num>
  <w:num w:numId="19">
    <w:abstractNumId w:val="8"/>
  </w:num>
  <w:num w:numId="20">
    <w:abstractNumId w:val="3"/>
  </w:num>
  <w:num w:numId="21">
    <w:abstractNumId w:val="7"/>
  </w:num>
  <w:num w:numId="22">
    <w:abstractNumId w:val="0"/>
  </w:num>
  <w:num w:numId="23">
    <w:abstractNumId w:val="28"/>
  </w:num>
  <w:num w:numId="24">
    <w:abstractNumId w:val="25"/>
  </w:num>
  <w:num w:numId="25">
    <w:abstractNumId w:val="23"/>
  </w:num>
  <w:num w:numId="26">
    <w:abstractNumId w:val="14"/>
  </w:num>
  <w:num w:numId="27">
    <w:abstractNumId w:val="2"/>
  </w:num>
  <w:num w:numId="28">
    <w:abstractNumId w:val="11"/>
  </w:num>
  <w:num w:numId="29">
    <w:abstractNumId w:val="18"/>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2F9"/>
    <w:rsid w:val="00022569"/>
    <w:rsid w:val="00026199"/>
    <w:rsid w:val="0002684D"/>
    <w:rsid w:val="00051DBD"/>
    <w:rsid w:val="000538F8"/>
    <w:rsid w:val="000758E8"/>
    <w:rsid w:val="00094E95"/>
    <w:rsid w:val="000C4F36"/>
    <w:rsid w:val="000E54D5"/>
    <w:rsid w:val="000F4071"/>
    <w:rsid w:val="00112650"/>
    <w:rsid w:val="00114ED3"/>
    <w:rsid w:val="001274B7"/>
    <w:rsid w:val="001305C0"/>
    <w:rsid w:val="00133E75"/>
    <w:rsid w:val="00142D5E"/>
    <w:rsid w:val="00155292"/>
    <w:rsid w:val="001560A1"/>
    <w:rsid w:val="001602F0"/>
    <w:rsid w:val="00163BBF"/>
    <w:rsid w:val="00194CFE"/>
    <w:rsid w:val="00194D87"/>
    <w:rsid w:val="00196806"/>
    <w:rsid w:val="001B6EF2"/>
    <w:rsid w:val="001D585E"/>
    <w:rsid w:val="001D6E94"/>
    <w:rsid w:val="00211220"/>
    <w:rsid w:val="0021504B"/>
    <w:rsid w:val="0022566B"/>
    <w:rsid w:val="0022628C"/>
    <w:rsid w:val="00265C91"/>
    <w:rsid w:val="002723DD"/>
    <w:rsid w:val="002948E5"/>
    <w:rsid w:val="002B106A"/>
    <w:rsid w:val="002E5811"/>
    <w:rsid w:val="002F7919"/>
    <w:rsid w:val="00307DA3"/>
    <w:rsid w:val="00312935"/>
    <w:rsid w:val="00340794"/>
    <w:rsid w:val="00340909"/>
    <w:rsid w:val="0034151E"/>
    <w:rsid w:val="003546F8"/>
    <w:rsid w:val="0035555A"/>
    <w:rsid w:val="00371359"/>
    <w:rsid w:val="00373F76"/>
    <w:rsid w:val="00384597"/>
    <w:rsid w:val="003846D3"/>
    <w:rsid w:val="00385BD0"/>
    <w:rsid w:val="0038702C"/>
    <w:rsid w:val="00397F3B"/>
    <w:rsid w:val="003C76CA"/>
    <w:rsid w:val="003D0C12"/>
    <w:rsid w:val="003D36DA"/>
    <w:rsid w:val="003D62CE"/>
    <w:rsid w:val="003F1C1E"/>
    <w:rsid w:val="00402CB6"/>
    <w:rsid w:val="00406808"/>
    <w:rsid w:val="004366D0"/>
    <w:rsid w:val="004534AD"/>
    <w:rsid w:val="00473A35"/>
    <w:rsid w:val="004A69D6"/>
    <w:rsid w:val="004B0AAB"/>
    <w:rsid w:val="004B0EAC"/>
    <w:rsid w:val="004B787A"/>
    <w:rsid w:val="004C224A"/>
    <w:rsid w:val="004C73FB"/>
    <w:rsid w:val="004D6415"/>
    <w:rsid w:val="004F3C01"/>
    <w:rsid w:val="005025E9"/>
    <w:rsid w:val="005279CD"/>
    <w:rsid w:val="005351E2"/>
    <w:rsid w:val="00546D48"/>
    <w:rsid w:val="00573784"/>
    <w:rsid w:val="00575D84"/>
    <w:rsid w:val="00585BED"/>
    <w:rsid w:val="005A0F99"/>
    <w:rsid w:val="005A4FE3"/>
    <w:rsid w:val="005D2250"/>
    <w:rsid w:val="0060068E"/>
    <w:rsid w:val="00605A55"/>
    <w:rsid w:val="00643F8E"/>
    <w:rsid w:val="006655FD"/>
    <w:rsid w:val="006746E7"/>
    <w:rsid w:val="006A124B"/>
    <w:rsid w:val="006D1AEA"/>
    <w:rsid w:val="006E20B1"/>
    <w:rsid w:val="006E7A8B"/>
    <w:rsid w:val="007040A4"/>
    <w:rsid w:val="0070781E"/>
    <w:rsid w:val="007254B4"/>
    <w:rsid w:val="007268BB"/>
    <w:rsid w:val="00746B97"/>
    <w:rsid w:val="00752D72"/>
    <w:rsid w:val="007568D4"/>
    <w:rsid w:val="00762FA0"/>
    <w:rsid w:val="007771A5"/>
    <w:rsid w:val="00782770"/>
    <w:rsid w:val="00796D90"/>
    <w:rsid w:val="007972D7"/>
    <w:rsid w:val="007C7C8A"/>
    <w:rsid w:val="007D5A9C"/>
    <w:rsid w:val="007E0241"/>
    <w:rsid w:val="007E4DC7"/>
    <w:rsid w:val="007F10EC"/>
    <w:rsid w:val="007F591F"/>
    <w:rsid w:val="00812CE6"/>
    <w:rsid w:val="00827A65"/>
    <w:rsid w:val="008328F1"/>
    <w:rsid w:val="00835513"/>
    <w:rsid w:val="00836F58"/>
    <w:rsid w:val="00846DEB"/>
    <w:rsid w:val="00852A70"/>
    <w:rsid w:val="008615EE"/>
    <w:rsid w:val="0086384D"/>
    <w:rsid w:val="0088513A"/>
    <w:rsid w:val="00892C1A"/>
    <w:rsid w:val="00896691"/>
    <w:rsid w:val="008C7A52"/>
    <w:rsid w:val="008D5F71"/>
    <w:rsid w:val="00934B81"/>
    <w:rsid w:val="00964B55"/>
    <w:rsid w:val="00992F9E"/>
    <w:rsid w:val="009A28D2"/>
    <w:rsid w:val="009A6D3D"/>
    <w:rsid w:val="009B6AAE"/>
    <w:rsid w:val="009C58AA"/>
    <w:rsid w:val="009D37EA"/>
    <w:rsid w:val="00A11153"/>
    <w:rsid w:val="00A208CD"/>
    <w:rsid w:val="00A4060C"/>
    <w:rsid w:val="00A44948"/>
    <w:rsid w:val="00A50DC3"/>
    <w:rsid w:val="00A539E5"/>
    <w:rsid w:val="00A947EF"/>
    <w:rsid w:val="00AA45BE"/>
    <w:rsid w:val="00AA6E56"/>
    <w:rsid w:val="00AC07BB"/>
    <w:rsid w:val="00AD4277"/>
    <w:rsid w:val="00AE55C3"/>
    <w:rsid w:val="00B148D3"/>
    <w:rsid w:val="00B35DFF"/>
    <w:rsid w:val="00B43601"/>
    <w:rsid w:val="00B648EF"/>
    <w:rsid w:val="00B72BF7"/>
    <w:rsid w:val="00B9066B"/>
    <w:rsid w:val="00BB0BA5"/>
    <w:rsid w:val="00BC5FB0"/>
    <w:rsid w:val="00BD2D4B"/>
    <w:rsid w:val="00BD586B"/>
    <w:rsid w:val="00BD70BE"/>
    <w:rsid w:val="00BE421D"/>
    <w:rsid w:val="00BE7297"/>
    <w:rsid w:val="00C01672"/>
    <w:rsid w:val="00C11315"/>
    <w:rsid w:val="00C12A0C"/>
    <w:rsid w:val="00C1480F"/>
    <w:rsid w:val="00C230CB"/>
    <w:rsid w:val="00C61A7A"/>
    <w:rsid w:val="00C637D4"/>
    <w:rsid w:val="00C93E82"/>
    <w:rsid w:val="00CD5D3B"/>
    <w:rsid w:val="00CD6AE6"/>
    <w:rsid w:val="00CD77B9"/>
    <w:rsid w:val="00D12CA6"/>
    <w:rsid w:val="00D4328A"/>
    <w:rsid w:val="00D636BE"/>
    <w:rsid w:val="00D66AA4"/>
    <w:rsid w:val="00D7491C"/>
    <w:rsid w:val="00D91EF9"/>
    <w:rsid w:val="00DC559A"/>
    <w:rsid w:val="00DC69FA"/>
    <w:rsid w:val="00E00B8E"/>
    <w:rsid w:val="00E07921"/>
    <w:rsid w:val="00E13EB0"/>
    <w:rsid w:val="00E16BD8"/>
    <w:rsid w:val="00E2215E"/>
    <w:rsid w:val="00E4504F"/>
    <w:rsid w:val="00E52153"/>
    <w:rsid w:val="00E53E78"/>
    <w:rsid w:val="00E6266F"/>
    <w:rsid w:val="00E940EB"/>
    <w:rsid w:val="00E96644"/>
    <w:rsid w:val="00E974FA"/>
    <w:rsid w:val="00EA5BA8"/>
    <w:rsid w:val="00EB7F8E"/>
    <w:rsid w:val="00EE00AB"/>
    <w:rsid w:val="00EE7010"/>
    <w:rsid w:val="00F14BDE"/>
    <w:rsid w:val="00F53C9F"/>
    <w:rsid w:val="00F71EED"/>
    <w:rsid w:val="00F87783"/>
    <w:rsid w:val="00FE39F0"/>
    <w:rsid w:val="00FF0DA1"/>
    <w:rsid w:val="00FF617C"/>
    <w:rsid w:val="00FF7F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FE3"/>
  </w:style>
  <w:style w:type="paragraph" w:styleId="Ttulo1">
    <w:name w:val="heading 1"/>
    <w:basedOn w:val="Normal"/>
    <w:next w:val="Normal"/>
    <w:link w:val="Ttulo1Car"/>
    <w:uiPriority w:val="9"/>
    <w:qFormat/>
    <w:rsid w:val="00C230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A4F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305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C559A"/>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C230CB"/>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762FA0"/>
    <w:pPr>
      <w:tabs>
        <w:tab w:val="left" w:pos="660"/>
        <w:tab w:val="right" w:leader="dot" w:pos="8828"/>
      </w:tabs>
      <w:spacing w:after="100" w:line="360" w:lineRule="auto"/>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CD5D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D3B"/>
    <w:rPr>
      <w:rFonts w:ascii="Segoe UI" w:hAnsi="Segoe UI" w:cs="Segoe UI"/>
      <w:sz w:val="18"/>
      <w:szCs w:val="18"/>
    </w:rPr>
  </w:style>
  <w:style w:type="table" w:styleId="Tablaconcuadrcula">
    <w:name w:val="Table Grid"/>
    <w:basedOn w:val="Tablanormal"/>
    <w:uiPriority w:val="39"/>
    <w:rsid w:val="005A4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5A4FE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5A4FE3"/>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5A4FE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5A4FE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305C0"/>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312935"/>
    <w:pPr>
      <w:tabs>
        <w:tab w:val="left" w:pos="880"/>
        <w:tab w:val="right" w:leader="dot" w:pos="8828"/>
      </w:tabs>
      <w:spacing w:after="100"/>
      <w:ind w:left="220"/>
    </w:pPr>
    <w:rPr>
      <w:rFonts w:ascii="Palatino Linotype" w:hAnsi="Palatino Linotype"/>
      <w:b/>
      <w:noProof/>
      <w:sz w:val="20"/>
    </w:rPr>
  </w:style>
  <w:style w:type="paragraph" w:styleId="TDC3">
    <w:name w:val="toc 3"/>
    <w:basedOn w:val="Normal"/>
    <w:next w:val="Normal"/>
    <w:autoRedefine/>
    <w:uiPriority w:val="39"/>
    <w:unhideWhenUsed/>
    <w:rsid w:val="001305C0"/>
    <w:pPr>
      <w:spacing w:after="100"/>
      <w:ind w:left="440"/>
    </w:pPr>
  </w:style>
  <w:style w:type="character" w:customStyle="1" w:styleId="apple-converted-space">
    <w:name w:val="apple-converted-space"/>
    <w:basedOn w:val="Fuentedeprrafopredeter"/>
    <w:rsid w:val="005279CD"/>
  </w:style>
  <w:style w:type="character" w:styleId="nfasis">
    <w:name w:val="Emphasis"/>
    <w:basedOn w:val="Fuentedeprrafopredeter"/>
    <w:uiPriority w:val="20"/>
    <w:qFormat/>
    <w:rsid w:val="005279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transparenciafiscal.edomex.gob.mx/sites/transparenciafiscal.edomex.gob.mx/files/files/pdf/marco-programatico-presupuestal/presupuesto-egresos-2018.pdf" TargetMode="External"/><Relationship Id="rId2" Type="http://schemas.openxmlformats.org/officeDocument/2006/relationships/hyperlink" Target="http://dle.rae.es/?id=M3a7YOZ" TargetMode="External"/><Relationship Id="rId1" Type="http://schemas.openxmlformats.org/officeDocument/2006/relationships/hyperlink" Target="http://www.bjdh.org.mx/interamericano/busque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32559-D6FA-4BAB-A3E0-A239B9332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3137</Words>
  <Characters>17259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20356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4</cp:revision>
  <cp:lastPrinted>2017-09-08T17:27:00Z</cp:lastPrinted>
  <dcterms:created xsi:type="dcterms:W3CDTF">2018-10-16T00:41:00Z</dcterms:created>
  <dcterms:modified xsi:type="dcterms:W3CDTF">2018-12-18T01:30:00Z</dcterms:modified>
</cp:coreProperties>
</file>